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029F" w14:textId="0D978D63" w:rsidR="004353D0" w:rsidRPr="004353D0" w:rsidRDefault="00B22952" w:rsidP="004353D0">
      <w:pPr>
        <w:rPr>
          <w:rFonts w:ascii="Century Gothic" w:hAnsi="Century Gothic"/>
          <w:b/>
          <w:bCs/>
          <w:color w:val="404040" w:themeColor="text1" w:themeTint="BF"/>
          <w:sz w:val="40"/>
          <w:szCs w:val="40"/>
        </w:rPr>
      </w:pPr>
      <w:r w:rsidRPr="004353D0">
        <w:rPr>
          <w:rFonts w:ascii="Century Gothic" w:hAnsi="Century Gothic"/>
          <w:b/>
          <w:bCs/>
          <w:noProof/>
          <w:color w:val="404040" w:themeColor="text1" w:themeTint="BF"/>
          <w:sz w:val="32"/>
          <w:szCs w:val="32"/>
        </w:rPr>
        <w:drawing>
          <wp:anchor distT="0" distB="0" distL="114300" distR="114300" simplePos="0" relativeHeight="251661312" behindDoc="0" locked="0" layoutInCell="1" allowOverlap="1" wp14:anchorId="730C6B1E" wp14:editId="7DA7B8A2">
            <wp:simplePos x="0" y="0"/>
            <wp:positionH relativeFrom="column">
              <wp:posOffset>4762500</wp:posOffset>
            </wp:positionH>
            <wp:positionV relativeFrom="paragraph">
              <wp:posOffset>-12065</wp:posOffset>
            </wp:positionV>
            <wp:extent cx="2120900" cy="421758"/>
            <wp:effectExtent l="0" t="0" r="0" b="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0900" cy="421758"/>
                    </a:xfrm>
                    <a:prstGeom prst="rect">
                      <a:avLst/>
                    </a:prstGeom>
                  </pic:spPr>
                </pic:pic>
              </a:graphicData>
            </a:graphic>
            <wp14:sizeRelH relativeFrom="margin">
              <wp14:pctWidth>0</wp14:pctWidth>
            </wp14:sizeRelH>
            <wp14:sizeRelV relativeFrom="margin">
              <wp14:pctHeight>0</wp14:pctHeight>
            </wp14:sizeRelV>
          </wp:anchor>
        </w:drawing>
      </w:r>
      <w:r w:rsidR="004353D0" w:rsidRPr="004353D0">
        <w:rPr>
          <w:rFonts w:ascii="Century Gothic" w:hAnsi="Century Gothic"/>
          <w:b/>
          <w:bCs/>
          <w:color w:val="404040" w:themeColor="text1" w:themeTint="BF"/>
          <w:sz w:val="40"/>
          <w:szCs w:val="40"/>
        </w:rPr>
        <w:t>Resource Planning Terms Cheat Sheet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A1B3F" w:rsidRPr="00CA1B3F" w14:paraId="1A6700CA" w14:textId="77777777" w:rsidTr="00CA1B3F">
        <w:trPr>
          <w:trHeight w:val="503"/>
        </w:trPr>
        <w:tc>
          <w:tcPr>
            <w:tcW w:w="10790" w:type="dxa"/>
            <w:tcBorders>
              <w:top w:val="nil"/>
              <w:left w:val="nil"/>
              <w:bottom w:val="single" w:sz="18" w:space="0" w:color="183A37"/>
              <w:right w:val="nil"/>
            </w:tcBorders>
            <w:vAlign w:val="bottom"/>
          </w:tcPr>
          <w:p w14:paraId="36DB6964" w14:textId="37380D61" w:rsidR="004353D0" w:rsidRPr="00CA1B3F" w:rsidRDefault="004353D0" w:rsidP="004353D0">
            <w:pPr>
              <w:rPr>
                <w:rFonts w:ascii="Century Gothic" w:hAnsi="Century Gothic"/>
                <w:b/>
                <w:bCs/>
                <w:color w:val="404040" w:themeColor="text1" w:themeTint="BF"/>
                <w:sz w:val="20"/>
                <w:szCs w:val="20"/>
              </w:rPr>
            </w:pPr>
            <w:r w:rsidRPr="00CA1B3F">
              <w:rPr>
                <w:rFonts w:ascii="Century Gothic" w:hAnsi="Century Gothic"/>
                <w:b/>
                <w:bCs/>
                <w:color w:val="404040" w:themeColor="text1" w:themeTint="BF"/>
                <w:sz w:val="24"/>
                <w:szCs w:val="24"/>
              </w:rPr>
              <w:t>Core Concepts</w:t>
            </w:r>
          </w:p>
        </w:tc>
      </w:tr>
      <w:tr w:rsidR="00CA1B3F" w:rsidRPr="00CA1B3F" w14:paraId="22D48670" w14:textId="77777777" w:rsidTr="00CA1B3F">
        <w:trPr>
          <w:trHeight w:val="2879"/>
        </w:trPr>
        <w:tc>
          <w:tcPr>
            <w:tcW w:w="10790" w:type="dxa"/>
            <w:tcBorders>
              <w:top w:val="single" w:sz="18" w:space="0" w:color="183A37"/>
              <w:left w:val="nil"/>
              <w:bottom w:val="nil"/>
              <w:right w:val="nil"/>
            </w:tcBorders>
          </w:tcPr>
          <w:p w14:paraId="562D8F7E" w14:textId="77777777" w:rsidR="004353D0" w:rsidRPr="00CA1B3F" w:rsidRDefault="004353D0" w:rsidP="004353D0">
            <w:pPr>
              <w:pStyle w:val="ListParagraph"/>
              <w:numPr>
                <w:ilvl w:val="0"/>
                <w:numId w:val="3"/>
              </w:numPr>
              <w:spacing w:before="240"/>
              <w:rPr>
                <w:rFonts w:ascii="Century Gothic" w:hAnsi="Century Gothic"/>
                <w:b/>
                <w:bCs/>
                <w:color w:val="404040" w:themeColor="text1" w:themeTint="BF"/>
              </w:rPr>
            </w:pPr>
            <w:r w:rsidRPr="00CA1B3F">
              <w:rPr>
                <w:rFonts w:ascii="Century Gothic" w:hAnsi="Century Gothic" w:cs="Arial"/>
                <w:b/>
                <w:bCs/>
                <w:color w:val="404040" w:themeColor="text1" w:themeTint="BF"/>
              </w:rPr>
              <w:t>Resource:</w:t>
            </w:r>
            <w:r w:rsidRPr="00CA1B3F">
              <w:rPr>
                <w:rFonts w:ascii="Century Gothic" w:hAnsi="Century Gothic" w:cs="Arial"/>
                <w:color w:val="404040" w:themeColor="text1" w:themeTint="BF"/>
              </w:rPr>
              <w:t xml:space="preserve"> Any input needed to complete a project, such as people, equipment, materials, or budget. In practice, </w:t>
            </w:r>
            <w:r w:rsidRPr="00CA1B3F">
              <w:rPr>
                <w:rFonts w:ascii="Century Gothic" w:hAnsi="Century Gothic" w:cs="Arial"/>
                <w:i/>
                <w:iCs/>
                <w:color w:val="404040" w:themeColor="text1" w:themeTint="BF"/>
              </w:rPr>
              <w:t>resource</w:t>
            </w:r>
            <w:r w:rsidRPr="00CA1B3F">
              <w:rPr>
                <w:rFonts w:ascii="Century Gothic" w:hAnsi="Century Gothic" w:cs="Arial"/>
                <w:color w:val="404040" w:themeColor="text1" w:themeTint="BF"/>
              </w:rPr>
              <w:t xml:space="preserve"> is often used as shorthand to refer to employees or team members.</w:t>
            </w:r>
          </w:p>
          <w:p w14:paraId="6B0B0512"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Capacity Planning:</w:t>
            </w:r>
            <w:r w:rsidRPr="00CA1B3F">
              <w:rPr>
                <w:rFonts w:ascii="Century Gothic" w:hAnsi="Century Gothic" w:cs="Arial"/>
                <w:color w:val="404040" w:themeColor="text1" w:themeTint="BF"/>
                <w:sz w:val="22"/>
                <w:szCs w:val="22"/>
              </w:rPr>
              <w:t xml:space="preserve"> Checking if your team has enough time/skills to deliver the work.</w:t>
            </w:r>
          </w:p>
          <w:p w14:paraId="20CE6A58"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Workload Balancing:</w:t>
            </w:r>
            <w:r w:rsidRPr="00CA1B3F">
              <w:rPr>
                <w:rFonts w:ascii="Century Gothic" w:hAnsi="Century Gothic" w:cs="Arial"/>
                <w:color w:val="404040" w:themeColor="text1" w:themeTint="BF"/>
                <w:sz w:val="22"/>
                <w:szCs w:val="22"/>
              </w:rPr>
              <w:t xml:space="preserve"> Shifting tasks to avoid overloading some team members while others are underutilized.</w:t>
            </w:r>
          </w:p>
          <w:p w14:paraId="3A27CB2D" w14:textId="77777777" w:rsidR="00CA1B3F"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Utilization Rate:</w:t>
            </w:r>
            <w:r w:rsidRPr="00CA1B3F">
              <w:rPr>
                <w:rFonts w:ascii="Century Gothic" w:hAnsi="Century Gothic" w:cs="Arial"/>
                <w:color w:val="404040" w:themeColor="text1" w:themeTint="BF"/>
                <w:sz w:val="22"/>
                <w:szCs w:val="22"/>
              </w:rPr>
              <w:t xml:space="preserve"> Percentage of available time a resource is actually working on project tasks.</w:t>
            </w:r>
          </w:p>
          <w:p w14:paraId="7C960897" w14:textId="493CBCE7" w:rsidR="004353D0"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Billable vs. Non-Billable Hours</w:t>
            </w:r>
            <w:r w:rsidRPr="00CA1B3F">
              <w:rPr>
                <w:rFonts w:ascii="Century Gothic" w:hAnsi="Century Gothic" w:cs="Arial"/>
                <w:color w:val="404040" w:themeColor="text1" w:themeTint="BF"/>
                <w:sz w:val="22"/>
                <w:szCs w:val="22"/>
              </w:rPr>
              <w:t>: Billable = client-facing/chargeable work; Non-billable = internal/admin tasks.</w:t>
            </w:r>
          </w:p>
        </w:tc>
      </w:tr>
    </w:tbl>
    <w:p w14:paraId="39356905" w14:textId="406461B4" w:rsidR="00302836" w:rsidRPr="00CA1B3F" w:rsidRDefault="00302836" w:rsidP="004353D0">
      <w:pPr>
        <w:rPr>
          <w:rFonts w:ascii="Century Gothic" w:hAnsi="Century Gothic"/>
          <w:b/>
          <w:bCs/>
          <w:color w:val="404040" w:themeColor="text1" w:themeTint="BF"/>
          <w:sz w:val="2"/>
          <w:szCs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A1B3F" w:rsidRPr="00CA1B3F" w14:paraId="32900F1E" w14:textId="77777777" w:rsidTr="00CA1B3F">
        <w:trPr>
          <w:trHeight w:val="503"/>
        </w:trPr>
        <w:tc>
          <w:tcPr>
            <w:tcW w:w="10790" w:type="dxa"/>
            <w:tcBorders>
              <w:top w:val="nil"/>
              <w:left w:val="nil"/>
              <w:bottom w:val="single" w:sz="18" w:space="0" w:color="183A37"/>
              <w:right w:val="nil"/>
            </w:tcBorders>
            <w:vAlign w:val="bottom"/>
          </w:tcPr>
          <w:p w14:paraId="751B476D" w14:textId="5F675E57" w:rsidR="004353D0" w:rsidRPr="00CA1B3F" w:rsidRDefault="004353D0" w:rsidP="002F15F9">
            <w:pPr>
              <w:rPr>
                <w:rFonts w:ascii="Century Gothic" w:hAnsi="Century Gothic"/>
                <w:b/>
                <w:bCs/>
                <w:color w:val="404040" w:themeColor="text1" w:themeTint="BF"/>
                <w:sz w:val="20"/>
                <w:szCs w:val="20"/>
              </w:rPr>
            </w:pPr>
            <w:r w:rsidRPr="00CA1B3F">
              <w:rPr>
                <w:rFonts w:ascii="Century Gothic" w:hAnsi="Century Gothic" w:cs="Arial"/>
                <w:b/>
                <w:bCs/>
                <w:color w:val="404040" w:themeColor="text1" w:themeTint="BF"/>
                <w:sz w:val="24"/>
                <w:szCs w:val="24"/>
              </w:rPr>
              <w:t>Metrics and Tracking</w:t>
            </w:r>
          </w:p>
        </w:tc>
      </w:tr>
      <w:tr w:rsidR="00CA1B3F" w:rsidRPr="00CA1B3F" w14:paraId="6E52EAB8" w14:textId="77777777" w:rsidTr="00CA1B3F">
        <w:trPr>
          <w:trHeight w:val="2295"/>
        </w:trPr>
        <w:tc>
          <w:tcPr>
            <w:tcW w:w="10790" w:type="dxa"/>
            <w:tcBorders>
              <w:top w:val="single" w:sz="18" w:space="0" w:color="183A37"/>
              <w:left w:val="nil"/>
              <w:bottom w:val="nil"/>
              <w:right w:val="nil"/>
            </w:tcBorders>
          </w:tcPr>
          <w:p w14:paraId="33BB8BF6" w14:textId="77777777" w:rsidR="004353D0" w:rsidRPr="00CA1B3F" w:rsidRDefault="004353D0" w:rsidP="004353D0">
            <w:pPr>
              <w:pStyle w:val="NormalWeb"/>
              <w:spacing w:before="0" w:beforeAutospacing="0" w:after="0" w:afterAutospacing="0"/>
              <w:ind w:left="720"/>
              <w:textAlignment w:val="baseline"/>
              <w:rPr>
                <w:rFonts w:ascii="Century Gothic" w:hAnsi="Century Gothic" w:cs="Arial"/>
                <w:color w:val="404040" w:themeColor="text1" w:themeTint="BF"/>
                <w:sz w:val="22"/>
                <w:szCs w:val="22"/>
              </w:rPr>
            </w:pPr>
          </w:p>
          <w:p w14:paraId="758E5D72" w14:textId="0AA69555"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Planned vs. Actuals:</w:t>
            </w:r>
            <w:r w:rsidRPr="00CA1B3F">
              <w:rPr>
                <w:rFonts w:ascii="Century Gothic" w:hAnsi="Century Gothic" w:cs="Arial"/>
                <w:color w:val="404040" w:themeColor="text1" w:themeTint="BF"/>
                <w:sz w:val="22"/>
                <w:szCs w:val="22"/>
              </w:rPr>
              <w:t xml:space="preserve"> Comparing what you budgeted or scheduled with what really happened.</w:t>
            </w:r>
          </w:p>
          <w:p w14:paraId="71A3DF83"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 xml:space="preserve">Burn Rate: </w:t>
            </w:r>
            <w:r w:rsidRPr="00CA1B3F">
              <w:rPr>
                <w:rFonts w:ascii="Century Gothic" w:hAnsi="Century Gothic" w:cs="Arial"/>
                <w:color w:val="404040" w:themeColor="text1" w:themeTint="BF"/>
                <w:sz w:val="22"/>
                <w:szCs w:val="22"/>
              </w:rPr>
              <w:t>How quickly you’re spending budget/resources compared to plan.</w:t>
            </w:r>
          </w:p>
          <w:p w14:paraId="36C2A398"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 xml:space="preserve">Throughput: </w:t>
            </w:r>
            <w:r w:rsidRPr="00CA1B3F">
              <w:rPr>
                <w:rFonts w:ascii="Century Gothic" w:hAnsi="Century Gothic" w:cs="Arial"/>
                <w:color w:val="404040" w:themeColor="text1" w:themeTint="BF"/>
                <w:sz w:val="22"/>
                <w:szCs w:val="22"/>
              </w:rPr>
              <w:t>Amount of work completed in a given timeframe (common in Agile).</w:t>
            </w:r>
          </w:p>
          <w:p w14:paraId="7B025FD6" w14:textId="77777777" w:rsidR="00CA1B3F"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 xml:space="preserve">Velocity: </w:t>
            </w:r>
            <w:r w:rsidRPr="00CA1B3F">
              <w:rPr>
                <w:rFonts w:ascii="Century Gothic" w:hAnsi="Century Gothic" w:cs="Arial"/>
                <w:color w:val="404040" w:themeColor="text1" w:themeTint="BF"/>
                <w:sz w:val="22"/>
                <w:szCs w:val="22"/>
              </w:rPr>
              <w:t>Measure of work a team can complete per sprint (Agile).</w:t>
            </w:r>
          </w:p>
          <w:p w14:paraId="2592083E" w14:textId="0F062D3E" w:rsidR="004353D0"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 xml:space="preserve">Resource Leveling: </w:t>
            </w:r>
            <w:r w:rsidRPr="00CA1B3F">
              <w:rPr>
                <w:rFonts w:ascii="Century Gothic" w:hAnsi="Century Gothic" w:cs="Arial"/>
                <w:color w:val="404040" w:themeColor="text1" w:themeTint="BF"/>
                <w:sz w:val="22"/>
                <w:szCs w:val="22"/>
              </w:rPr>
              <w:t xml:space="preserve">Adjusting start/end dates or workloads to remove </w:t>
            </w:r>
            <w:r w:rsidR="00CA1B3F" w:rsidRPr="00CA1B3F">
              <w:rPr>
                <w:rFonts w:ascii="Century Gothic" w:hAnsi="Century Gothic" w:cs="Arial"/>
                <w:color w:val="404040" w:themeColor="text1" w:themeTint="BF"/>
                <w:sz w:val="22"/>
                <w:szCs w:val="22"/>
              </w:rPr>
              <w:t>overallocations.</w:t>
            </w:r>
          </w:p>
        </w:tc>
      </w:tr>
    </w:tbl>
    <w:p w14:paraId="500EDF18" w14:textId="77777777" w:rsidR="00AF110B" w:rsidRPr="00CA1B3F" w:rsidRDefault="00AF110B">
      <w:pPr>
        <w:rPr>
          <w:rFonts w:ascii="Century Gothic" w:hAnsi="Century Gothic"/>
          <w:b/>
          <w:bCs/>
          <w:color w:val="404040" w:themeColor="text1" w:themeTint="BF"/>
          <w:sz w:val="2"/>
          <w:szCs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A1B3F" w:rsidRPr="00CA1B3F" w14:paraId="660D320F" w14:textId="77777777" w:rsidTr="00CA1B3F">
        <w:trPr>
          <w:trHeight w:val="503"/>
        </w:trPr>
        <w:tc>
          <w:tcPr>
            <w:tcW w:w="10790" w:type="dxa"/>
            <w:tcBorders>
              <w:top w:val="nil"/>
              <w:left w:val="nil"/>
              <w:bottom w:val="single" w:sz="18" w:space="0" w:color="183A37"/>
              <w:right w:val="nil"/>
            </w:tcBorders>
            <w:vAlign w:val="bottom"/>
          </w:tcPr>
          <w:p w14:paraId="7E037785" w14:textId="2D9CE51A" w:rsidR="004353D0" w:rsidRPr="00CA1B3F" w:rsidRDefault="004353D0" w:rsidP="002F15F9">
            <w:pPr>
              <w:rPr>
                <w:rFonts w:ascii="Century Gothic" w:hAnsi="Century Gothic"/>
                <w:b/>
                <w:bCs/>
                <w:color w:val="404040" w:themeColor="text1" w:themeTint="BF"/>
                <w:sz w:val="20"/>
                <w:szCs w:val="20"/>
              </w:rPr>
            </w:pPr>
            <w:r w:rsidRPr="00CA1B3F">
              <w:rPr>
                <w:rFonts w:ascii="Century Gothic" w:hAnsi="Century Gothic" w:cs="Arial"/>
                <w:b/>
                <w:bCs/>
                <w:color w:val="404040" w:themeColor="text1" w:themeTint="BF"/>
                <w:sz w:val="24"/>
                <w:szCs w:val="24"/>
              </w:rPr>
              <w:t>Methods and Approaches</w:t>
            </w:r>
          </w:p>
        </w:tc>
      </w:tr>
      <w:tr w:rsidR="00CA1B3F" w:rsidRPr="00CA1B3F" w14:paraId="7A94FABF" w14:textId="77777777" w:rsidTr="00CA1B3F">
        <w:trPr>
          <w:trHeight w:val="2097"/>
        </w:trPr>
        <w:tc>
          <w:tcPr>
            <w:tcW w:w="10790" w:type="dxa"/>
            <w:tcBorders>
              <w:top w:val="single" w:sz="18" w:space="0" w:color="183A37"/>
              <w:left w:val="nil"/>
              <w:bottom w:val="nil"/>
              <w:right w:val="nil"/>
            </w:tcBorders>
          </w:tcPr>
          <w:p w14:paraId="55D9CF40" w14:textId="77777777" w:rsidR="004353D0" w:rsidRPr="00CA1B3F" w:rsidRDefault="004353D0" w:rsidP="004353D0">
            <w:pPr>
              <w:pStyle w:val="NormalWeb"/>
              <w:spacing w:before="0" w:beforeAutospacing="0" w:after="0" w:afterAutospacing="0"/>
              <w:ind w:left="720"/>
              <w:textAlignment w:val="baseline"/>
              <w:rPr>
                <w:rFonts w:ascii="Century Gothic" w:hAnsi="Century Gothic" w:cs="Arial"/>
                <w:color w:val="404040" w:themeColor="text1" w:themeTint="BF"/>
                <w:sz w:val="22"/>
                <w:szCs w:val="22"/>
              </w:rPr>
            </w:pPr>
          </w:p>
          <w:p w14:paraId="6B727A55" w14:textId="140318C4"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Top-Down Estimating</w:t>
            </w:r>
            <w:r w:rsidRPr="00CA1B3F">
              <w:rPr>
                <w:rFonts w:ascii="Century Gothic" w:hAnsi="Century Gothic" w:cs="Arial"/>
                <w:color w:val="404040" w:themeColor="text1" w:themeTint="BF"/>
                <w:sz w:val="22"/>
                <w:szCs w:val="22"/>
              </w:rPr>
              <w:t>: Start with a high-level budget or timeline, then break it down into tasks and resources.</w:t>
            </w:r>
          </w:p>
          <w:p w14:paraId="21CC056B"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 xml:space="preserve">Bottom-Up Estimating: </w:t>
            </w:r>
            <w:r w:rsidRPr="00CA1B3F">
              <w:rPr>
                <w:rFonts w:ascii="Century Gothic" w:hAnsi="Century Gothic" w:cs="Arial"/>
                <w:color w:val="404040" w:themeColor="text1" w:themeTint="BF"/>
                <w:sz w:val="22"/>
                <w:szCs w:val="22"/>
              </w:rPr>
              <w:t>Estimate each task/resource in detail, then roll up into a total plan.</w:t>
            </w:r>
          </w:p>
          <w:p w14:paraId="731DD5B8" w14:textId="77777777" w:rsidR="00CA1B3F"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Critical Path:</w:t>
            </w:r>
            <w:r w:rsidRPr="00CA1B3F">
              <w:rPr>
                <w:rFonts w:ascii="Century Gothic" w:hAnsi="Century Gothic" w:cs="Arial"/>
                <w:color w:val="404040" w:themeColor="text1" w:themeTint="BF"/>
                <w:sz w:val="22"/>
                <w:szCs w:val="22"/>
              </w:rPr>
              <w:t xml:space="preserve"> The sequence of tasks that determines the minimum project duration.</w:t>
            </w:r>
          </w:p>
          <w:p w14:paraId="4399B3D6" w14:textId="5FA90B28" w:rsidR="004353D0" w:rsidRPr="00CA1B3F" w:rsidRDefault="004353D0" w:rsidP="00CA1B3F">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Buffer/Slack:</w:t>
            </w:r>
            <w:r w:rsidRPr="00CA1B3F">
              <w:rPr>
                <w:rFonts w:ascii="Century Gothic" w:hAnsi="Century Gothic" w:cs="Arial"/>
                <w:color w:val="404040" w:themeColor="text1" w:themeTint="BF"/>
                <w:sz w:val="22"/>
                <w:szCs w:val="22"/>
              </w:rPr>
              <w:t xml:space="preserve"> Extra time or resources built in to absorb delays.</w:t>
            </w:r>
          </w:p>
        </w:tc>
      </w:tr>
    </w:tbl>
    <w:p w14:paraId="46176471" w14:textId="60524D77" w:rsidR="00513BBE" w:rsidRPr="00CA1B3F" w:rsidRDefault="00513BBE" w:rsidP="00513BBE">
      <w:pPr>
        <w:rPr>
          <w:rFonts w:ascii="Century Gothic" w:hAnsi="Century Gothic"/>
          <w:b/>
          <w:bCs/>
          <w:color w:val="404040" w:themeColor="text1" w:themeTint="BF"/>
          <w:sz w:val="2"/>
          <w:szCs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A1B3F" w:rsidRPr="00CA1B3F" w14:paraId="28A42C14" w14:textId="77777777" w:rsidTr="00CA1B3F">
        <w:trPr>
          <w:trHeight w:val="503"/>
        </w:trPr>
        <w:tc>
          <w:tcPr>
            <w:tcW w:w="10790" w:type="dxa"/>
            <w:tcBorders>
              <w:top w:val="nil"/>
              <w:left w:val="nil"/>
              <w:bottom w:val="single" w:sz="18" w:space="0" w:color="183A37"/>
              <w:right w:val="nil"/>
            </w:tcBorders>
            <w:vAlign w:val="bottom"/>
          </w:tcPr>
          <w:p w14:paraId="7639F620" w14:textId="54E79A95" w:rsidR="004353D0" w:rsidRPr="00CA1B3F" w:rsidRDefault="004353D0" w:rsidP="002F15F9">
            <w:pPr>
              <w:rPr>
                <w:rFonts w:ascii="Century Gothic" w:hAnsi="Century Gothic"/>
                <w:b/>
                <w:bCs/>
                <w:color w:val="404040" w:themeColor="text1" w:themeTint="BF"/>
                <w:sz w:val="20"/>
                <w:szCs w:val="20"/>
              </w:rPr>
            </w:pPr>
            <w:r w:rsidRPr="00CA1B3F">
              <w:rPr>
                <w:rFonts w:ascii="Century Gothic" w:hAnsi="Century Gothic" w:cs="Arial"/>
                <w:b/>
                <w:bCs/>
                <w:color w:val="404040" w:themeColor="text1" w:themeTint="BF"/>
                <w:sz w:val="24"/>
                <w:szCs w:val="24"/>
              </w:rPr>
              <w:t>People and Practice</w:t>
            </w:r>
          </w:p>
        </w:tc>
      </w:tr>
      <w:tr w:rsidR="00CA1B3F" w:rsidRPr="00CA1B3F" w14:paraId="65D0257D" w14:textId="77777777" w:rsidTr="00CA1B3F">
        <w:trPr>
          <w:trHeight w:val="639"/>
        </w:trPr>
        <w:tc>
          <w:tcPr>
            <w:tcW w:w="10790" w:type="dxa"/>
            <w:tcBorders>
              <w:top w:val="single" w:sz="18" w:space="0" w:color="183A37"/>
              <w:left w:val="nil"/>
              <w:bottom w:val="nil"/>
              <w:right w:val="nil"/>
            </w:tcBorders>
          </w:tcPr>
          <w:p w14:paraId="3D3BB7E2" w14:textId="77777777" w:rsidR="004353D0" w:rsidRPr="00CA1B3F" w:rsidRDefault="004353D0" w:rsidP="002F15F9">
            <w:pPr>
              <w:pStyle w:val="NormalWeb"/>
              <w:spacing w:before="0" w:beforeAutospacing="0" w:after="0" w:afterAutospacing="0"/>
              <w:ind w:left="720"/>
              <w:textAlignment w:val="baseline"/>
              <w:rPr>
                <w:rFonts w:ascii="Century Gothic" w:hAnsi="Century Gothic" w:cs="Arial"/>
                <w:color w:val="404040" w:themeColor="text1" w:themeTint="BF"/>
                <w:sz w:val="22"/>
                <w:szCs w:val="22"/>
              </w:rPr>
            </w:pPr>
          </w:p>
          <w:p w14:paraId="5488D045"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color w:val="404040" w:themeColor="text1" w:themeTint="BF"/>
                <w:sz w:val="22"/>
                <w:szCs w:val="22"/>
              </w:rPr>
            </w:pPr>
            <w:r w:rsidRPr="00CA1B3F">
              <w:rPr>
                <w:rFonts w:ascii="Century Gothic" w:hAnsi="Century Gothic" w:cs="Arial"/>
                <w:b/>
                <w:bCs/>
                <w:color w:val="404040" w:themeColor="text1" w:themeTint="BF"/>
                <w:sz w:val="22"/>
                <w:szCs w:val="22"/>
              </w:rPr>
              <w:t>FTE (Full-Time Equivalent):</w:t>
            </w:r>
            <w:r w:rsidRPr="00CA1B3F">
              <w:rPr>
                <w:rFonts w:ascii="Century Gothic" w:hAnsi="Century Gothic" w:cs="Arial"/>
                <w:color w:val="404040" w:themeColor="text1" w:themeTint="BF"/>
                <w:sz w:val="22"/>
                <w:szCs w:val="22"/>
              </w:rPr>
              <w:t xml:space="preserve"> Standard measure of resource effort (e.g., 0.5 FTE = half a person’s time).</w:t>
            </w:r>
          </w:p>
          <w:p w14:paraId="1FAADB6F" w14:textId="77777777" w:rsidR="004353D0" w:rsidRPr="00CA1B3F" w:rsidRDefault="004353D0" w:rsidP="004353D0">
            <w:pPr>
              <w:pStyle w:val="NormalWeb"/>
              <w:numPr>
                <w:ilvl w:val="0"/>
                <w:numId w:val="3"/>
              </w:numPr>
              <w:spacing w:before="0" w:beforeAutospacing="0" w:after="0" w:afterAutospacing="0"/>
              <w:textAlignment w:val="baseline"/>
              <w:rPr>
                <w:rFonts w:ascii="Century Gothic" w:hAnsi="Century Gothic" w:cs="Arial"/>
                <w:b/>
                <w:bCs/>
                <w:color w:val="404040" w:themeColor="text1" w:themeTint="BF"/>
                <w:sz w:val="22"/>
                <w:szCs w:val="22"/>
              </w:rPr>
            </w:pPr>
            <w:r w:rsidRPr="00CA1B3F">
              <w:rPr>
                <w:rFonts w:ascii="Century Gothic" w:hAnsi="Century Gothic" w:cs="Arial"/>
                <w:b/>
                <w:bCs/>
                <w:color w:val="404040" w:themeColor="text1" w:themeTint="BF"/>
                <w:sz w:val="22"/>
                <w:szCs w:val="22"/>
              </w:rPr>
              <w:t xml:space="preserve">SOW (Statement of Work): </w:t>
            </w:r>
            <w:r w:rsidRPr="00CA1B3F">
              <w:rPr>
                <w:rFonts w:ascii="Century Gothic" w:hAnsi="Century Gothic" w:cs="Arial"/>
                <w:color w:val="404040" w:themeColor="text1" w:themeTint="BF"/>
                <w:sz w:val="22"/>
                <w:szCs w:val="22"/>
              </w:rPr>
              <w:t>Usually a formal document outlining scope, deliverables, and timelines, but in resource planning it can be used as shorthand for contract or outsourced workers tied to a specific agreement.</w:t>
            </w:r>
          </w:p>
          <w:p w14:paraId="7769BF5C" w14:textId="77777777" w:rsidR="00CA1B3F" w:rsidRPr="00CA1B3F" w:rsidRDefault="004353D0" w:rsidP="00CA1B3F">
            <w:pPr>
              <w:pStyle w:val="NormalWeb"/>
              <w:numPr>
                <w:ilvl w:val="0"/>
                <w:numId w:val="3"/>
              </w:numPr>
              <w:spacing w:before="0" w:beforeAutospacing="0" w:after="0" w:afterAutospacing="0"/>
              <w:textAlignment w:val="baseline"/>
              <w:rPr>
                <w:rFonts w:ascii="Century Gothic" w:hAnsi="Century Gothic" w:cs="Arial"/>
                <w:b/>
                <w:bCs/>
                <w:color w:val="404040" w:themeColor="text1" w:themeTint="BF"/>
                <w:sz w:val="22"/>
                <w:szCs w:val="22"/>
              </w:rPr>
            </w:pPr>
            <w:r w:rsidRPr="00CA1B3F">
              <w:rPr>
                <w:rFonts w:ascii="Century Gothic" w:hAnsi="Century Gothic" w:cs="Arial"/>
                <w:b/>
                <w:bCs/>
                <w:color w:val="404040" w:themeColor="text1" w:themeTint="BF"/>
                <w:sz w:val="22"/>
                <w:szCs w:val="22"/>
              </w:rPr>
              <w:t xml:space="preserve">Contingent Workforce: </w:t>
            </w:r>
            <w:r w:rsidRPr="00CA1B3F">
              <w:rPr>
                <w:rFonts w:ascii="Century Gothic" w:hAnsi="Century Gothic" w:cs="Arial"/>
                <w:color w:val="404040" w:themeColor="text1" w:themeTint="BF"/>
                <w:sz w:val="22"/>
                <w:szCs w:val="22"/>
              </w:rPr>
              <w:t>Non-permanent staff such as freelancers, contractors, or agency workers who support projects on a temporary basis. While not full-time employees, they often work alongside core staff and may transition into permanent roles.</w:t>
            </w:r>
          </w:p>
          <w:p w14:paraId="50C30CD5" w14:textId="1AC7A09F" w:rsidR="004353D0" w:rsidRPr="00CA1B3F" w:rsidRDefault="004353D0" w:rsidP="00CA1B3F">
            <w:pPr>
              <w:pStyle w:val="NormalWeb"/>
              <w:numPr>
                <w:ilvl w:val="0"/>
                <w:numId w:val="3"/>
              </w:numPr>
              <w:spacing w:before="0" w:beforeAutospacing="0" w:after="0" w:afterAutospacing="0"/>
              <w:textAlignment w:val="baseline"/>
              <w:rPr>
                <w:rFonts w:ascii="Century Gothic" w:hAnsi="Century Gothic" w:cs="Arial"/>
                <w:b/>
                <w:bCs/>
                <w:color w:val="404040" w:themeColor="text1" w:themeTint="BF"/>
                <w:sz w:val="22"/>
                <w:szCs w:val="22"/>
              </w:rPr>
            </w:pPr>
            <w:r w:rsidRPr="00CA1B3F">
              <w:rPr>
                <w:rFonts w:ascii="Century Gothic" w:hAnsi="Century Gothic" w:cs="Arial"/>
                <w:b/>
                <w:bCs/>
                <w:color w:val="404040" w:themeColor="text1" w:themeTint="BF"/>
                <w:sz w:val="22"/>
                <w:szCs w:val="22"/>
              </w:rPr>
              <w:t>Incremental Staffing:</w:t>
            </w:r>
            <w:r w:rsidRPr="00CA1B3F">
              <w:rPr>
                <w:rFonts w:ascii="Century Gothic" w:hAnsi="Century Gothic" w:cs="Arial"/>
                <w:color w:val="404040" w:themeColor="text1" w:themeTint="BF"/>
                <w:sz w:val="22"/>
                <w:szCs w:val="22"/>
              </w:rPr>
              <w:t xml:space="preserve"> Adding consultants, contractors, or temporary staff to handle spikes in demand.</w:t>
            </w:r>
          </w:p>
        </w:tc>
      </w:tr>
    </w:tbl>
    <w:p w14:paraId="29A57173" w14:textId="77777777" w:rsidR="00707976" w:rsidRDefault="00707976">
      <w:pPr>
        <w:rPr>
          <w:rFonts w:ascii="Century Gothic" w:hAnsi="Century Gothic"/>
          <w:b/>
          <w:bCs/>
          <w:color w:val="595959" w:themeColor="text1" w:themeTint="A6"/>
          <w:sz w:val="44"/>
          <w:szCs w:val="44"/>
        </w:rPr>
      </w:pPr>
    </w:p>
    <w:tbl>
      <w:tblPr>
        <w:tblStyle w:val="TableGrid"/>
        <w:tblpPr w:leftFromText="180" w:rightFromText="180" w:vertAnchor="text" w:horzAnchor="margin" w:tblpY="441"/>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CA1B3F" w14:paraId="062C1A58" w14:textId="77777777" w:rsidTr="00CA1B3F">
        <w:trPr>
          <w:trHeight w:val="2338"/>
        </w:trPr>
        <w:tc>
          <w:tcPr>
            <w:tcW w:w="10680" w:type="dxa"/>
          </w:tcPr>
          <w:p w14:paraId="34C91E98" w14:textId="77777777" w:rsidR="00CA1B3F" w:rsidRPr="00692C04" w:rsidRDefault="00CA1B3F" w:rsidP="00CA1B3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A78CC1" w14:textId="77777777" w:rsidR="00CA1B3F" w:rsidRDefault="00CA1B3F" w:rsidP="00CA1B3F">
            <w:pPr>
              <w:rPr>
                <w:rFonts w:ascii="Century Gothic" w:hAnsi="Century Gothic" w:cs="Arial"/>
                <w:szCs w:val="20"/>
              </w:rPr>
            </w:pPr>
          </w:p>
          <w:p w14:paraId="10CF924C" w14:textId="77777777" w:rsidR="00CA1B3F" w:rsidRDefault="00CA1B3F" w:rsidP="00CA1B3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0E20BD3" w14:textId="77777777" w:rsidR="00707976" w:rsidRDefault="00707976">
      <w:pPr>
        <w:rPr>
          <w:rFonts w:ascii="Century Gothic" w:hAnsi="Century Gothic"/>
          <w:b/>
          <w:bCs/>
          <w:color w:val="595959" w:themeColor="text1" w:themeTint="A6"/>
          <w:sz w:val="44"/>
          <w:szCs w:val="44"/>
        </w:rPr>
      </w:pPr>
    </w:p>
    <w:p w14:paraId="6A2FEB48" w14:textId="77777777" w:rsidR="00707976" w:rsidRDefault="00707976">
      <w:pPr>
        <w:rPr>
          <w:rFonts w:ascii="Century Gothic" w:hAnsi="Century Gothic"/>
          <w:b/>
          <w:bCs/>
          <w:color w:val="595959" w:themeColor="text1" w:themeTint="A6"/>
          <w:sz w:val="44"/>
          <w:szCs w:val="44"/>
        </w:rPr>
      </w:pPr>
    </w:p>
    <w:p w14:paraId="0F8623D9" w14:textId="77777777" w:rsidR="00707976" w:rsidRDefault="00707976">
      <w:pPr>
        <w:rPr>
          <w:rFonts w:ascii="Century Gothic" w:hAnsi="Century Gothic"/>
          <w:b/>
          <w:bCs/>
          <w:color w:val="595959" w:themeColor="text1" w:themeTint="A6"/>
          <w:sz w:val="44"/>
          <w:szCs w:val="44"/>
        </w:rPr>
      </w:pPr>
    </w:p>
    <w:p w14:paraId="0696D485" w14:textId="77777777" w:rsidR="00707976" w:rsidRDefault="00707976">
      <w:pPr>
        <w:rPr>
          <w:rFonts w:ascii="Century Gothic" w:hAnsi="Century Gothic"/>
          <w:b/>
          <w:bCs/>
          <w:color w:val="595959" w:themeColor="text1" w:themeTint="A6"/>
          <w:sz w:val="44"/>
          <w:szCs w:val="44"/>
        </w:rPr>
      </w:pPr>
    </w:p>
    <w:p w14:paraId="028E3AE5" w14:textId="77777777" w:rsidR="00707976" w:rsidRDefault="00707976">
      <w:pPr>
        <w:rPr>
          <w:rFonts w:ascii="Century Gothic" w:hAnsi="Century Gothic"/>
          <w:b/>
          <w:bCs/>
          <w:color w:val="595959" w:themeColor="text1" w:themeTint="A6"/>
          <w:sz w:val="44"/>
          <w:szCs w:val="44"/>
        </w:rPr>
      </w:pPr>
    </w:p>
    <w:p w14:paraId="3CFA5F30" w14:textId="77777777" w:rsidR="00707976" w:rsidRDefault="00707976">
      <w:pPr>
        <w:rPr>
          <w:rFonts w:ascii="Century Gothic" w:hAnsi="Century Gothic"/>
          <w:b/>
          <w:bCs/>
          <w:color w:val="595959" w:themeColor="text1" w:themeTint="A6"/>
          <w:sz w:val="44"/>
          <w:szCs w:val="44"/>
        </w:rPr>
      </w:pPr>
    </w:p>
    <w:p w14:paraId="011B751D" w14:textId="77777777" w:rsidR="00707976" w:rsidRDefault="00707976">
      <w:pPr>
        <w:rPr>
          <w:rFonts w:ascii="Century Gothic" w:hAnsi="Century Gothic"/>
          <w:b/>
          <w:bCs/>
          <w:color w:val="595959" w:themeColor="text1" w:themeTint="A6"/>
          <w:sz w:val="44"/>
          <w:szCs w:val="44"/>
        </w:rPr>
      </w:pPr>
    </w:p>
    <w:p w14:paraId="648999B2" w14:textId="77777777" w:rsidR="00707976" w:rsidRDefault="00707976">
      <w:pPr>
        <w:rPr>
          <w:rFonts w:ascii="Century Gothic" w:hAnsi="Century Gothic"/>
          <w:b/>
          <w:bCs/>
          <w:color w:val="595959" w:themeColor="text1" w:themeTint="A6"/>
          <w:sz w:val="44"/>
          <w:szCs w:val="44"/>
        </w:rPr>
      </w:pPr>
    </w:p>
    <w:p w14:paraId="097D0F2E" w14:textId="77777777" w:rsidR="004353D0" w:rsidRDefault="004353D0">
      <w:pPr>
        <w:rPr>
          <w:rFonts w:ascii="Century Gothic" w:hAnsi="Century Gothic"/>
          <w:b/>
          <w:bCs/>
          <w:color w:val="595959" w:themeColor="text1" w:themeTint="A6"/>
          <w:sz w:val="44"/>
          <w:szCs w:val="44"/>
        </w:rPr>
      </w:pPr>
    </w:p>
    <w:p w14:paraId="52D218ED" w14:textId="77777777" w:rsidR="004353D0" w:rsidRDefault="004353D0">
      <w:pPr>
        <w:rPr>
          <w:rFonts w:ascii="Century Gothic" w:hAnsi="Century Gothic"/>
          <w:b/>
          <w:bCs/>
          <w:color w:val="595959" w:themeColor="text1" w:themeTint="A6"/>
          <w:sz w:val="44"/>
          <w:szCs w:val="44"/>
        </w:rPr>
      </w:pPr>
    </w:p>
    <w:p w14:paraId="365131EF" w14:textId="77777777" w:rsidR="004353D0" w:rsidRDefault="004353D0">
      <w:pPr>
        <w:rPr>
          <w:rFonts w:ascii="Century Gothic" w:hAnsi="Century Gothic"/>
          <w:b/>
          <w:bCs/>
          <w:color w:val="595959" w:themeColor="text1" w:themeTint="A6"/>
          <w:sz w:val="44"/>
          <w:szCs w:val="44"/>
        </w:rPr>
      </w:pPr>
    </w:p>
    <w:p w14:paraId="5BA61ECC" w14:textId="77777777" w:rsidR="004353D0" w:rsidRDefault="004353D0">
      <w:pPr>
        <w:rPr>
          <w:rFonts w:ascii="Century Gothic" w:hAnsi="Century Gothic"/>
          <w:b/>
          <w:bCs/>
          <w:color w:val="595959" w:themeColor="text1" w:themeTint="A6"/>
          <w:sz w:val="44"/>
          <w:szCs w:val="44"/>
        </w:rPr>
      </w:pPr>
    </w:p>
    <w:p w14:paraId="6B29DDE2" w14:textId="77777777" w:rsidR="004353D0" w:rsidRDefault="004353D0">
      <w:pPr>
        <w:rPr>
          <w:rFonts w:ascii="Century Gothic" w:hAnsi="Century Gothic"/>
          <w:b/>
          <w:bCs/>
          <w:color w:val="595959" w:themeColor="text1" w:themeTint="A6"/>
          <w:sz w:val="44"/>
          <w:szCs w:val="44"/>
        </w:rPr>
      </w:pPr>
    </w:p>
    <w:p w14:paraId="0630E50D" w14:textId="77777777" w:rsidR="00707976" w:rsidRDefault="00707976">
      <w:pPr>
        <w:rPr>
          <w:rFonts w:ascii="Century Gothic" w:hAnsi="Century Gothic"/>
          <w:b/>
          <w:bCs/>
          <w:color w:val="595959" w:themeColor="text1" w:themeTint="A6"/>
          <w:sz w:val="44"/>
          <w:szCs w:val="44"/>
        </w:rPr>
      </w:pPr>
    </w:p>
    <w:p w14:paraId="325679F8" w14:textId="79181CC8" w:rsidR="00B22952" w:rsidRPr="00B22952" w:rsidRDefault="00B22952">
      <w:pPr>
        <w:rPr>
          <w:rFonts w:ascii="Century Gothic" w:hAnsi="Century Gothic"/>
          <w:b/>
          <w:bCs/>
          <w:sz w:val="44"/>
          <w:szCs w:val="44"/>
        </w:rPr>
      </w:pPr>
    </w:p>
    <w:sectPr w:rsidR="00B22952" w:rsidRPr="00B22952" w:rsidSect="000D10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5599"/>
    <w:multiLevelType w:val="multilevel"/>
    <w:tmpl w:val="13A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35002"/>
    <w:multiLevelType w:val="hybridMultilevel"/>
    <w:tmpl w:val="2F44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47687"/>
    <w:multiLevelType w:val="hybridMultilevel"/>
    <w:tmpl w:val="D86A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A2402"/>
    <w:multiLevelType w:val="multilevel"/>
    <w:tmpl w:val="527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24576"/>
    <w:multiLevelType w:val="multilevel"/>
    <w:tmpl w:val="F38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55105"/>
    <w:multiLevelType w:val="multilevel"/>
    <w:tmpl w:val="F600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21D2A"/>
    <w:multiLevelType w:val="hybridMultilevel"/>
    <w:tmpl w:val="0E88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23189">
    <w:abstractNumId w:val="6"/>
  </w:num>
  <w:num w:numId="2" w16cid:durableId="205260460">
    <w:abstractNumId w:val="1"/>
  </w:num>
  <w:num w:numId="3" w16cid:durableId="940063591">
    <w:abstractNumId w:val="2"/>
  </w:num>
  <w:num w:numId="4" w16cid:durableId="632447845">
    <w:abstractNumId w:val="4"/>
  </w:num>
  <w:num w:numId="5" w16cid:durableId="1632400704">
    <w:abstractNumId w:val="0"/>
  </w:num>
  <w:num w:numId="6" w16cid:durableId="737635474">
    <w:abstractNumId w:val="5"/>
  </w:num>
  <w:num w:numId="7" w16cid:durableId="205095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053BDB"/>
    <w:rsid w:val="00066389"/>
    <w:rsid w:val="000B6F8E"/>
    <w:rsid w:val="000D1028"/>
    <w:rsid w:val="00144D6A"/>
    <w:rsid w:val="00145EF1"/>
    <w:rsid w:val="001B2CC7"/>
    <w:rsid w:val="0022017E"/>
    <w:rsid w:val="00302836"/>
    <w:rsid w:val="00331661"/>
    <w:rsid w:val="003A6608"/>
    <w:rsid w:val="00415171"/>
    <w:rsid w:val="004353D0"/>
    <w:rsid w:val="00513BBE"/>
    <w:rsid w:val="00692859"/>
    <w:rsid w:val="00707976"/>
    <w:rsid w:val="00937AC0"/>
    <w:rsid w:val="009D4580"/>
    <w:rsid w:val="00A93C31"/>
    <w:rsid w:val="00AF110B"/>
    <w:rsid w:val="00B22952"/>
    <w:rsid w:val="00C91A0A"/>
    <w:rsid w:val="00CA1B3F"/>
    <w:rsid w:val="00D2241B"/>
    <w:rsid w:val="00EE6643"/>
    <w:rsid w:val="00F65ED5"/>
    <w:rsid w:val="00F71BB4"/>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53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959296">
      <w:bodyDiv w:val="1"/>
      <w:marLeft w:val="0"/>
      <w:marRight w:val="0"/>
      <w:marTop w:val="0"/>
      <w:marBottom w:val="0"/>
      <w:divBdr>
        <w:top w:val="none" w:sz="0" w:space="0" w:color="auto"/>
        <w:left w:val="none" w:sz="0" w:space="0" w:color="auto"/>
        <w:bottom w:val="none" w:sz="0" w:space="0" w:color="auto"/>
        <w:right w:val="none" w:sz="0" w:space="0" w:color="auto"/>
      </w:divBdr>
    </w:div>
    <w:div w:id="1838764558">
      <w:bodyDiv w:val="1"/>
      <w:marLeft w:val="0"/>
      <w:marRight w:val="0"/>
      <w:marTop w:val="0"/>
      <w:marBottom w:val="0"/>
      <w:divBdr>
        <w:top w:val="none" w:sz="0" w:space="0" w:color="auto"/>
        <w:left w:val="none" w:sz="0" w:space="0" w:color="auto"/>
        <w:bottom w:val="none" w:sz="0" w:space="0" w:color="auto"/>
        <w:right w:val="none" w:sz="0" w:space="0" w:color="auto"/>
      </w:divBdr>
    </w:div>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401&amp;utm_source=template-word&amp;utm_medium=content&amp;utm_campaign=S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2024-09-09T13:42:00Z</dcterms:created>
  <dcterms:modified xsi:type="dcterms:W3CDTF">2025-09-14T18:23:00Z</dcterms:modified>
</cp:coreProperties>
</file>