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AC31E" w14:textId="4835DB61" w:rsidR="00B45809" w:rsidRDefault="00B26A99">
      <w:pPr>
        <w:rPr>
          <w:b/>
          <w:color w:val="000000"/>
        </w:rPr>
      </w:pPr>
      <w:r w:rsidRPr="00100C71">
        <w:rPr>
          <w:rFonts w:eastAsia="Times New Roman" w:cs="Arial"/>
          <w:b/>
          <w:bCs/>
          <w:noProof/>
          <w:color w:val="404040" w:themeColor="text1" w:themeTint="BF"/>
          <w:sz w:val="48"/>
          <w:szCs w:val="28"/>
        </w:rPr>
        <w:drawing>
          <wp:anchor distT="0" distB="0" distL="114300" distR="114300" simplePos="0" relativeHeight="251671552" behindDoc="0" locked="0" layoutInCell="1" allowOverlap="1" wp14:anchorId="552E06D5" wp14:editId="6C0C6C47">
            <wp:simplePos x="0" y="0"/>
            <wp:positionH relativeFrom="column">
              <wp:posOffset>5080000</wp:posOffset>
            </wp:positionH>
            <wp:positionV relativeFrom="paragraph">
              <wp:posOffset>-111760</wp:posOffset>
            </wp:positionV>
            <wp:extent cx="2019300" cy="368541"/>
            <wp:effectExtent l="0" t="0" r="0" b="0"/>
            <wp:wrapNone/>
            <wp:docPr id="1186864494" name="Picture 1" descr="A blue and white sign&#10;&#10;AI-generated content may be incorr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64494" name="Picture 1" descr="A blue and white sign&#10;&#10;AI-generated content may be incorrect.">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9300" cy="368541"/>
                    </a:xfrm>
                    <a:prstGeom prst="rect">
                      <a:avLst/>
                    </a:prstGeom>
                  </pic:spPr>
                </pic:pic>
              </a:graphicData>
            </a:graphic>
            <wp14:sizeRelH relativeFrom="page">
              <wp14:pctWidth>0</wp14:pctWidth>
            </wp14:sizeRelH>
            <wp14:sizeRelV relativeFrom="page">
              <wp14:pctHeight>0</wp14:pctHeight>
            </wp14:sizeRelV>
          </wp:anchor>
        </w:drawing>
      </w:r>
      <w:r w:rsidR="00A616F3">
        <w:rPr>
          <w:noProof/>
          <w:color w:val="000000"/>
          <w:sz w:val="22"/>
          <w:szCs w:val="22"/>
        </w:rPr>
        <mc:AlternateContent>
          <mc:Choice Requires="wps">
            <w:drawing>
              <wp:anchor distT="0" distB="0" distL="114300" distR="114300" simplePos="0" relativeHeight="251660288" behindDoc="0" locked="0" layoutInCell="1" allowOverlap="1" wp14:anchorId="698A3B99" wp14:editId="18BCF458">
                <wp:simplePos x="0" y="0"/>
                <wp:positionH relativeFrom="column">
                  <wp:posOffset>-254000</wp:posOffset>
                </wp:positionH>
                <wp:positionV relativeFrom="paragraph">
                  <wp:posOffset>-162560</wp:posOffset>
                </wp:positionV>
                <wp:extent cx="6337300" cy="584200"/>
                <wp:effectExtent l="0" t="0" r="0" b="0"/>
                <wp:wrapNone/>
                <wp:docPr id="1350756197" name="Text Box 3"/>
                <wp:cNvGraphicFramePr/>
                <a:graphic xmlns:a="http://schemas.openxmlformats.org/drawingml/2006/main">
                  <a:graphicData uri="http://schemas.microsoft.com/office/word/2010/wordprocessingShape">
                    <wps:wsp>
                      <wps:cNvSpPr txBox="1"/>
                      <wps:spPr>
                        <a:xfrm>
                          <a:off x="0" y="0"/>
                          <a:ext cx="6337300" cy="584200"/>
                        </a:xfrm>
                        <a:prstGeom prst="rect">
                          <a:avLst/>
                        </a:prstGeom>
                        <a:noFill/>
                        <a:ln w="6350">
                          <a:noFill/>
                        </a:ln>
                      </wps:spPr>
                      <wps:txbx>
                        <w:txbxContent>
                          <w:p w14:paraId="159A35C4" w14:textId="5753DD2C" w:rsidR="00A616F3" w:rsidRPr="00A616F3" w:rsidRDefault="00A616F3">
                            <w:pPr>
                              <w:rPr>
                                <w:sz w:val="44"/>
                                <w:szCs w:val="44"/>
                              </w:rPr>
                            </w:pPr>
                            <w:r w:rsidRPr="00A616F3">
                              <w:rPr>
                                <w:sz w:val="44"/>
                                <w:szCs w:val="44"/>
                              </w:rPr>
                              <w:t>Supply Chain Management Glossary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8A3B99" id="_x0000_t202" coordsize="21600,21600" o:spt="202" path="m,l,21600r21600,l21600,xe">
                <v:stroke joinstyle="miter"/>
                <v:path gradientshapeok="t" o:connecttype="rect"/>
              </v:shapetype>
              <v:shape id="Text Box 3" o:spid="_x0000_s1026" type="#_x0000_t202" style="position:absolute;margin-left:-20pt;margin-top:-12.8pt;width:499pt;height:4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" filled="f" stroked="f" strokeweight=".5pt">
                <v:textbox>
                  <w:txbxContent>
                    <w:p w14:paraId="159A35C4" w14:textId="5753DD2C" w:rsidR="00A616F3" w:rsidRPr="00A616F3" w:rsidRDefault="00A616F3">
                      <w:pPr>
                        <w:rPr>
                          <w:sz w:val="44"/>
                          <w:szCs w:val="44"/>
                        </w:rPr>
                      </w:pPr>
                      <w:r w:rsidRPr="00A616F3">
                        <w:rPr>
                          <w:sz w:val="44"/>
                          <w:szCs w:val="44"/>
                        </w:rPr>
                        <w:t>Supply Chain Management Glossary</w:t>
                      </w:r>
                    </w:p>
                  </w:txbxContent>
                </v:textbox>
              </v:shape>
            </w:pict>
          </mc:Fallback>
        </mc:AlternateContent>
      </w:r>
    </w:p>
    <w:p w14:paraId="5E8D7DF3" w14:textId="7736ADBF" w:rsidR="00734BF9" w:rsidRPr="00B54CA4" w:rsidRDefault="00734BF9" w:rsidP="00B54CA4">
      <w:pPr>
        <w:rPr>
          <w:b/>
          <w:color w:val="000000"/>
        </w:rPr>
      </w:pPr>
    </w:p>
    <w:p w14:paraId="4895B836" w14:textId="350A09CA" w:rsidR="00820894" w:rsidRDefault="00A616F3">
      <w:pPr>
        <w:spacing w:line="276" w:lineRule="auto"/>
        <w:rPr>
          <w:color w:val="000000"/>
          <w:sz w:val="22"/>
          <w:szCs w:val="22"/>
        </w:rPr>
      </w:pPr>
      <w:r>
        <w:rPr>
          <w:noProof/>
          <w:color w:val="000000"/>
          <w:sz w:val="22"/>
          <w:szCs w:val="22"/>
        </w:rPr>
        <mc:AlternateContent>
          <mc:Choice Requires="wps">
            <w:drawing>
              <wp:anchor distT="0" distB="0" distL="114300" distR="114300" simplePos="0" relativeHeight="251666432" behindDoc="0" locked="0" layoutInCell="1" allowOverlap="1" wp14:anchorId="446C2E93" wp14:editId="2AD0A9DC">
                <wp:simplePos x="0" y="0"/>
                <wp:positionH relativeFrom="column">
                  <wp:posOffset>2095500</wp:posOffset>
                </wp:positionH>
                <wp:positionV relativeFrom="paragraph">
                  <wp:posOffset>199390</wp:posOffset>
                </wp:positionV>
                <wp:extent cx="2603500" cy="825500"/>
                <wp:effectExtent l="0" t="0" r="0" b="0"/>
                <wp:wrapNone/>
                <wp:docPr id="673170605" name="Text Box 5"/>
                <wp:cNvGraphicFramePr/>
                <a:graphic xmlns:a="http://schemas.openxmlformats.org/drawingml/2006/main">
                  <a:graphicData uri="http://schemas.microsoft.com/office/word/2010/wordprocessingShape">
                    <wps:wsp>
                      <wps:cNvSpPr txBox="1"/>
                      <wps:spPr>
                        <a:xfrm>
                          <a:off x="0" y="0"/>
                          <a:ext cx="2603500" cy="825500"/>
                        </a:xfrm>
                        <a:prstGeom prst="rect">
                          <a:avLst/>
                        </a:prstGeom>
                        <a:noFill/>
                        <a:ln w="6350">
                          <a:noFill/>
                        </a:ln>
                      </wps:spPr>
                      <wps:txbx>
                        <w:txbxContent>
                          <w:p w14:paraId="0FABB911" w14:textId="187DADE8" w:rsidR="00A616F3" w:rsidRPr="00B54C17" w:rsidRDefault="00A616F3" w:rsidP="00A616F3">
                            <w:pPr>
                              <w:jc w:val="center"/>
                              <w:rPr>
                                <w:color w:val="17365D" w:themeColor="text2" w:themeShade="BF"/>
                                <w:sz w:val="72"/>
                                <w:szCs w:val="72"/>
                              </w:rPr>
                            </w:pPr>
                            <w:r w:rsidRPr="00B54C17">
                              <w:rPr>
                                <w:color w:val="17365D" w:themeColor="text2" w:themeShade="BF"/>
                                <w:sz w:val="72"/>
                                <w:szCs w:val="72"/>
                              </w:rPr>
                              <w:t>Glossary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C2E93" id="Text Box 5" o:spid="_x0000_s1027" type="#_x0000_t202" style="position:absolute;margin-left:165pt;margin-top:15.7pt;width:205pt;height: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" filled="f" stroked="f" strokeweight=".5pt">
                <v:textbox>
                  <w:txbxContent>
                    <w:p w14:paraId="0FABB911" w14:textId="187DADE8" w:rsidR="00A616F3" w:rsidRPr="00B54C17" w:rsidRDefault="00A616F3" w:rsidP="00A616F3">
                      <w:pPr>
                        <w:jc w:val="center"/>
                        <w:rPr>
                          <w:color w:val="17365D" w:themeColor="text2" w:themeShade="BF"/>
                          <w:sz w:val="72"/>
                          <w:szCs w:val="72"/>
                        </w:rPr>
                      </w:pPr>
                      <w:r w:rsidRPr="00B54C17">
                        <w:rPr>
                          <w:color w:val="17365D" w:themeColor="text2" w:themeShade="BF"/>
                          <w:sz w:val="72"/>
                          <w:szCs w:val="72"/>
                        </w:rPr>
                        <w:t>Glossary</w:t>
                      </w:r>
                    </w:p>
                  </w:txbxContent>
                </v:textbox>
              </v:shape>
            </w:pict>
          </mc:Fallback>
        </mc:AlternateContent>
      </w:r>
    </w:p>
    <w:p w14:paraId="5A4771CC" w14:textId="3C206F21" w:rsidR="00820894" w:rsidRDefault="00820894">
      <w:pPr>
        <w:spacing w:line="276" w:lineRule="auto"/>
        <w:rPr>
          <w:color w:val="000000"/>
          <w:sz w:val="22"/>
          <w:szCs w:val="22"/>
        </w:rPr>
      </w:pPr>
    </w:p>
    <w:p w14:paraId="5DFE75AF" w14:textId="401F80BB" w:rsidR="00820894" w:rsidRDefault="00CD126C">
      <w:pPr>
        <w:spacing w:line="276" w:lineRule="auto"/>
        <w:rPr>
          <w:color w:val="000000"/>
          <w:sz w:val="22"/>
          <w:szCs w:val="22"/>
        </w:rPr>
      </w:pPr>
      <w:r>
        <w:rPr>
          <w:noProof/>
          <w:color w:val="000000"/>
          <w:sz w:val="22"/>
          <w:szCs w:val="22"/>
        </w:rPr>
        <mc:AlternateContent>
          <mc:Choice Requires="wps">
            <w:drawing>
              <wp:anchor distT="0" distB="0" distL="114300" distR="114300" simplePos="0" relativeHeight="251669504" behindDoc="0" locked="0" layoutInCell="1" allowOverlap="1" wp14:anchorId="139A4E9E" wp14:editId="5FCFF0B4">
                <wp:simplePos x="0" y="0"/>
                <wp:positionH relativeFrom="column">
                  <wp:posOffset>774700</wp:posOffset>
                </wp:positionH>
                <wp:positionV relativeFrom="paragraph">
                  <wp:posOffset>189865</wp:posOffset>
                </wp:positionV>
                <wp:extent cx="1473200" cy="0"/>
                <wp:effectExtent l="50800" t="38100" r="25400" b="76200"/>
                <wp:wrapNone/>
                <wp:docPr id="1967388920" name="Straight Connector 5"/>
                <wp:cNvGraphicFramePr/>
                <a:graphic xmlns:a="http://schemas.openxmlformats.org/drawingml/2006/main">
                  <a:graphicData uri="http://schemas.microsoft.com/office/word/2010/wordprocessingShape">
                    <wps:wsp>
                      <wps:cNvCnPr/>
                      <wps:spPr>
                        <a:xfrm>
                          <a:off x="0" y="0"/>
                          <a:ext cx="1473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07A73" id="Straight Connector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4.95pt" to="177pt,1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" strokecolor="#4f81bd [3204]" strokeweight="2pt">
                <v:shadow on="t" color="black" opacity="24903f" origin=",.5" offset="0,.55556mm"/>
              </v:line>
            </w:pict>
          </mc:Fallback>
        </mc:AlternateContent>
      </w:r>
      <w:r>
        <w:rPr>
          <w:noProof/>
          <w:color w:val="000000"/>
          <w:sz w:val="22"/>
          <w:szCs w:val="22"/>
        </w:rPr>
        <mc:AlternateContent>
          <mc:Choice Requires="wps">
            <w:drawing>
              <wp:anchor distT="0" distB="0" distL="114300" distR="114300" simplePos="0" relativeHeight="251667456" behindDoc="0" locked="0" layoutInCell="1" allowOverlap="1" wp14:anchorId="4954BF1F" wp14:editId="487EE175">
                <wp:simplePos x="0" y="0"/>
                <wp:positionH relativeFrom="column">
                  <wp:posOffset>4495800</wp:posOffset>
                </wp:positionH>
                <wp:positionV relativeFrom="paragraph">
                  <wp:posOffset>186055</wp:posOffset>
                </wp:positionV>
                <wp:extent cx="1473200" cy="0"/>
                <wp:effectExtent l="50800" t="38100" r="25400" b="76200"/>
                <wp:wrapNone/>
                <wp:docPr id="846569519" name="Straight Connector 5"/>
                <wp:cNvGraphicFramePr/>
                <a:graphic xmlns:a="http://schemas.openxmlformats.org/drawingml/2006/main">
                  <a:graphicData uri="http://schemas.microsoft.com/office/word/2010/wordprocessingShape">
                    <wps:wsp>
                      <wps:cNvCnPr/>
                      <wps:spPr>
                        <a:xfrm>
                          <a:off x="0" y="0"/>
                          <a:ext cx="1473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8319D"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14.65pt" to="470pt,1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" strokecolor="#4f81bd [3204]" strokeweight="2pt">
                <v:shadow on="t" color="black" opacity="24903f" origin=",.5" offset="0,.55556mm"/>
              </v:line>
            </w:pict>
          </mc:Fallback>
        </mc:AlternateContent>
      </w:r>
    </w:p>
    <w:p w14:paraId="1C7E2CF7" w14:textId="475222B3" w:rsidR="00820894" w:rsidRDefault="00820894">
      <w:pPr>
        <w:spacing w:line="276" w:lineRule="auto"/>
        <w:rPr>
          <w:color w:val="000000"/>
          <w:sz w:val="22"/>
          <w:szCs w:val="22"/>
        </w:rPr>
      </w:pPr>
    </w:p>
    <w:p w14:paraId="47374311" w14:textId="7FC19845" w:rsidR="00985ACD" w:rsidRDefault="00985ACD" w:rsidP="00985ACD">
      <w:pPr>
        <w:spacing w:line="276" w:lineRule="auto"/>
        <w:rPr>
          <w:color w:val="000000"/>
          <w:sz w:val="22"/>
          <w:szCs w:val="22"/>
        </w:rPr>
      </w:pPr>
    </w:p>
    <w:p w14:paraId="0DBB67CB" w14:textId="3E5E0754" w:rsidR="00985ACD" w:rsidRDefault="00985ACD" w:rsidP="00985ACD">
      <w:pPr>
        <w:spacing w:line="276" w:lineRule="auto"/>
        <w:rPr>
          <w:rFonts w:cs="Arial"/>
          <w:color w:val="215868" w:themeColor="accent5" w:themeShade="80"/>
          <w:sz w:val="28"/>
          <w:szCs w:val="28"/>
          <w:shd w:val="clear" w:color="auto" w:fill="FFFFFF"/>
        </w:rPr>
      </w:pPr>
    </w:p>
    <w:tbl>
      <w:tblPr>
        <w:tblStyle w:val="TableGrid"/>
        <w:tblW w:w="0" w:type="auto"/>
        <w:tblBorders>
          <w:top w:val="none" w:sz="0" w:space="0" w:color="auto"/>
          <w:left w:val="none" w:sz="0" w:space="0" w:color="auto"/>
          <w:bottom w:val="single" w:sz="4" w:space="0" w:color="0F243E" w:themeColor="text2" w:themeShade="80"/>
          <w:right w:val="none" w:sz="0" w:space="0" w:color="auto"/>
          <w:insideH w:val="none" w:sz="0" w:space="0" w:color="auto"/>
          <w:insideV w:val="single" w:sz="4" w:space="0" w:color="0F243E" w:themeColor="text2" w:themeShade="80"/>
        </w:tblBorders>
        <w:tblLook w:val="04A0" w:firstRow="1" w:lastRow="0" w:firstColumn="1" w:lastColumn="0" w:noHBand="0" w:noVBand="1"/>
      </w:tblPr>
      <w:tblGrid>
        <w:gridCol w:w="2425"/>
        <w:gridCol w:w="8365"/>
      </w:tblGrid>
      <w:tr w:rsidR="00446259" w14:paraId="53B76F5B" w14:textId="77777777" w:rsidTr="00A4013B">
        <w:trPr>
          <w:trHeight w:val="1440"/>
        </w:trPr>
        <w:tc>
          <w:tcPr>
            <w:tcW w:w="2425" w:type="dxa"/>
            <w:tcBorders>
              <w:bottom w:val="single" w:sz="4" w:space="0" w:color="A6A6A6" w:themeColor="background1" w:themeShade="A6"/>
              <w:right w:val="single" w:sz="4" w:space="0" w:color="A6A6A6" w:themeColor="background1" w:themeShade="A6"/>
            </w:tcBorders>
            <w:shd w:val="clear" w:color="auto" w:fill="F2F4FB"/>
          </w:tcPr>
          <w:p w14:paraId="0CF4F1D1" w14:textId="26B8EC99" w:rsidR="00446259" w:rsidRPr="00A4013B" w:rsidRDefault="00446259" w:rsidP="007E341E">
            <w:pPr>
              <w:spacing w:before="120" w:line="276" w:lineRule="auto"/>
              <w:rPr>
                <w:color w:val="17365D" w:themeColor="text2" w:themeShade="BF"/>
                <w:sz w:val="21"/>
                <w:szCs w:val="21"/>
              </w:rPr>
            </w:pPr>
            <w:r w:rsidRPr="00A4013B">
              <w:rPr>
                <w:rFonts w:cs="Arial"/>
                <w:b/>
                <w:bCs/>
                <w:color w:val="17365D" w:themeColor="text2" w:themeShade="BF"/>
                <w:sz w:val="21"/>
                <w:szCs w:val="21"/>
              </w:rPr>
              <w:t>AI in Supply Chain Management</w:t>
            </w:r>
          </w:p>
        </w:tc>
        <w:tc>
          <w:tcPr>
            <w:tcW w:w="8365" w:type="dxa"/>
            <w:tcBorders>
              <w:left w:val="single" w:sz="4" w:space="0" w:color="A6A6A6" w:themeColor="background1" w:themeShade="A6"/>
              <w:bottom w:val="single" w:sz="4" w:space="0" w:color="A6A6A6" w:themeColor="background1" w:themeShade="A6"/>
            </w:tcBorders>
          </w:tcPr>
          <w:p w14:paraId="2BED8FEE" w14:textId="311630BA" w:rsidR="00446259" w:rsidRPr="00446259" w:rsidRDefault="00446259" w:rsidP="007E341E">
            <w:pPr>
              <w:spacing w:before="120" w:after="80" w:line="276" w:lineRule="auto"/>
              <w:rPr>
                <w:color w:val="000000"/>
                <w:sz w:val="21"/>
                <w:szCs w:val="21"/>
              </w:rPr>
            </w:pPr>
            <w:r w:rsidRPr="00446259">
              <w:rPr>
                <w:rFonts w:cs="Arial"/>
                <w:color w:val="000000"/>
              </w:rPr>
              <w:t>The use of artificial intelligence to analyze supply chain data, predict demand, optimize routes, and detect risks faster than traditional methods. AI can automate decision-making, but companies often face challenges integrating AI insights into existing ERP systems. AI is especially valuable in demand forecasting, inventory optimization, and risk sensing.</w:t>
            </w:r>
            <w:r w:rsidRPr="00446259">
              <w:rPr>
                <w:rFonts w:cs="Arial"/>
                <w:color w:val="000000"/>
              </w:rPr>
              <w:br/>
            </w:r>
            <w:r w:rsidRPr="00446259">
              <w:rPr>
                <w:rFonts w:cs="Arial"/>
                <w:i/>
                <w:iCs/>
                <w:color w:val="000000"/>
              </w:rPr>
              <w:t>Example:</w:t>
            </w:r>
            <w:r w:rsidRPr="00446259">
              <w:rPr>
                <w:rFonts w:cs="Arial"/>
                <w:color w:val="000000"/>
              </w:rPr>
              <w:t xml:space="preserve"> A retailer uses AI to predict a surge in demand for outdoor furniture when unexpected warm weather is forecasted.</w:t>
            </w:r>
          </w:p>
        </w:tc>
      </w:tr>
      <w:tr w:rsidR="00446259" w14:paraId="60D4829C"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3F37E45A" w14:textId="108D7672" w:rsidR="00446259" w:rsidRPr="00A4013B" w:rsidRDefault="00446259" w:rsidP="007E341E">
            <w:pPr>
              <w:spacing w:before="120" w:line="276" w:lineRule="auto"/>
              <w:rPr>
                <w:color w:val="17365D" w:themeColor="text2" w:themeShade="BF"/>
                <w:sz w:val="21"/>
                <w:szCs w:val="21"/>
              </w:rPr>
            </w:pPr>
            <w:r w:rsidRPr="00A4013B">
              <w:rPr>
                <w:rFonts w:cs="Arial"/>
                <w:b/>
                <w:bCs/>
                <w:color w:val="17365D" w:themeColor="text2" w:themeShade="BF"/>
                <w:sz w:val="21"/>
                <w:szCs w:val="21"/>
              </w:rPr>
              <w:t>Blockchain in Supply Chain</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E4038EB" w14:textId="04D0E0D7" w:rsidR="00446259" w:rsidRPr="00446259" w:rsidRDefault="00446259" w:rsidP="007E341E">
            <w:pPr>
              <w:spacing w:before="120" w:after="80" w:line="276" w:lineRule="auto"/>
              <w:rPr>
                <w:color w:val="000000"/>
                <w:sz w:val="21"/>
                <w:szCs w:val="21"/>
              </w:rPr>
            </w:pPr>
            <w:r w:rsidRPr="00446259">
              <w:rPr>
                <w:rFonts w:cs="Arial"/>
                <w:color w:val="000000"/>
              </w:rPr>
              <w:t>A digital ledger technology that creates a secure, unchangeable record of transactions across the supply chain. It improves traceability, helps prevent fraud, and allows all parties to access a shared data source in real time. Adoption is still limited to industries like luxury goods, food safety, and pharmaceuticals where transparency is critical.</w:t>
            </w:r>
            <w:r w:rsidRPr="00446259">
              <w:rPr>
                <w:rFonts w:cs="Arial"/>
                <w:color w:val="000000"/>
              </w:rPr>
              <w:br/>
            </w:r>
            <w:r w:rsidRPr="00446259">
              <w:rPr>
                <w:rFonts w:cs="Arial"/>
                <w:i/>
                <w:iCs/>
                <w:color w:val="000000"/>
              </w:rPr>
              <w:t>Example:</w:t>
            </w:r>
            <w:r w:rsidRPr="00446259">
              <w:rPr>
                <w:rFonts w:cs="Arial"/>
                <w:color w:val="000000"/>
              </w:rPr>
              <w:t xml:space="preserve"> A food distributor uses blockchain to trace every step of a product’s journey from farm to shelf.</w:t>
            </w:r>
          </w:p>
        </w:tc>
      </w:tr>
      <w:tr w:rsidR="00446259" w14:paraId="4A15AE64"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53A38272" w14:textId="766FFC4E" w:rsidR="00446259" w:rsidRPr="00A4013B" w:rsidRDefault="00446259" w:rsidP="007E341E">
            <w:pPr>
              <w:spacing w:before="120" w:line="276" w:lineRule="auto"/>
              <w:rPr>
                <w:color w:val="17365D" w:themeColor="text2" w:themeShade="BF"/>
                <w:sz w:val="21"/>
                <w:szCs w:val="21"/>
              </w:rPr>
            </w:pPr>
            <w:r w:rsidRPr="00A4013B">
              <w:rPr>
                <w:rFonts w:cs="Arial"/>
                <w:b/>
                <w:bCs/>
                <w:color w:val="17365D" w:themeColor="text2" w:themeShade="BF"/>
                <w:sz w:val="21"/>
                <w:szCs w:val="21"/>
              </w:rPr>
              <w:t>Border Adjustment Tax</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2D03F35" w14:textId="4C9F0ADD" w:rsidR="00446259" w:rsidRPr="00446259" w:rsidRDefault="00446259" w:rsidP="007E341E">
            <w:pPr>
              <w:spacing w:before="120" w:after="80" w:line="276" w:lineRule="auto"/>
              <w:rPr>
                <w:color w:val="000000"/>
                <w:sz w:val="21"/>
                <w:szCs w:val="21"/>
              </w:rPr>
            </w:pPr>
            <w:r w:rsidRPr="00446259">
              <w:rPr>
                <w:rFonts w:cs="Arial"/>
                <w:color w:val="000000"/>
              </w:rPr>
              <w:t>Also known as a destination-based cash flow tax (DBCFT), this tax is levied on imported goods. It’s a critical consideration in global supply chains, especially during trade disputes and tariff negotiations.</w:t>
            </w:r>
          </w:p>
        </w:tc>
      </w:tr>
      <w:tr w:rsidR="00446259" w14:paraId="6395A2E1"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3CD01FE0" w14:textId="1247E14A" w:rsidR="00446259" w:rsidRPr="00A4013B" w:rsidRDefault="00446259" w:rsidP="007E341E">
            <w:pPr>
              <w:spacing w:before="120" w:line="276" w:lineRule="auto"/>
              <w:rPr>
                <w:color w:val="17365D" w:themeColor="text2" w:themeShade="BF"/>
                <w:sz w:val="21"/>
                <w:szCs w:val="21"/>
              </w:rPr>
            </w:pPr>
            <w:r w:rsidRPr="00A4013B">
              <w:rPr>
                <w:rFonts w:cs="Arial"/>
                <w:b/>
                <w:bCs/>
                <w:color w:val="17365D" w:themeColor="text2" w:themeShade="BF"/>
                <w:sz w:val="21"/>
                <w:szCs w:val="21"/>
              </w:rPr>
              <w:t>Carbon Accounting</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639D48" w14:textId="405D47FD" w:rsidR="00446259" w:rsidRPr="00446259" w:rsidRDefault="00446259" w:rsidP="007E341E">
            <w:pPr>
              <w:spacing w:before="120" w:after="80" w:line="276" w:lineRule="auto"/>
              <w:rPr>
                <w:color w:val="000000"/>
                <w:sz w:val="21"/>
                <w:szCs w:val="21"/>
              </w:rPr>
            </w:pPr>
            <w:r w:rsidRPr="00446259">
              <w:rPr>
                <w:rFonts w:cs="Arial"/>
                <w:color w:val="000000"/>
              </w:rPr>
              <w:t>Measuring the carbon footprint of supply chain activities, from sourcing raw materials to delivering finished products. Companies use carbon accounting to meet sustainability reporting requirements such as the EU’s Corporate Sustainability Reporting Directive (CSRD) and to set climate targets.</w:t>
            </w:r>
          </w:p>
        </w:tc>
      </w:tr>
      <w:tr w:rsidR="00446259" w14:paraId="042F8936"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7E9675C4" w14:textId="2433A2E0" w:rsidR="00446259" w:rsidRPr="00A4013B" w:rsidRDefault="00446259" w:rsidP="007E341E">
            <w:pPr>
              <w:spacing w:before="120" w:line="276" w:lineRule="auto"/>
              <w:rPr>
                <w:color w:val="17365D" w:themeColor="text2" w:themeShade="BF"/>
                <w:sz w:val="21"/>
                <w:szCs w:val="21"/>
              </w:rPr>
            </w:pPr>
            <w:r w:rsidRPr="00A4013B">
              <w:rPr>
                <w:rFonts w:cs="Arial"/>
                <w:b/>
                <w:bCs/>
                <w:color w:val="17365D" w:themeColor="text2" w:themeShade="BF"/>
                <w:sz w:val="21"/>
                <w:szCs w:val="21"/>
              </w:rPr>
              <w:t>Circular Supply Chain</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30CCD9" w14:textId="3A7AD318" w:rsidR="00446259" w:rsidRPr="00446259" w:rsidRDefault="00446259" w:rsidP="007E341E">
            <w:pPr>
              <w:spacing w:before="120" w:after="80" w:line="276" w:lineRule="auto"/>
              <w:rPr>
                <w:color w:val="000000"/>
                <w:sz w:val="21"/>
                <w:szCs w:val="21"/>
              </w:rPr>
            </w:pPr>
            <w:r w:rsidRPr="00446259">
              <w:rPr>
                <w:rFonts w:cs="Arial"/>
                <w:color w:val="000000"/>
              </w:rPr>
              <w:t>A supply chain that reuses, recycles, or repurposes products and materials at the end of their lifecycle, aiming to reduce waste. Unlike a traditional linear supply chain (make-use-dispose), circular supply chains focus on closed-loop systems.</w:t>
            </w:r>
            <w:r w:rsidRPr="00446259">
              <w:rPr>
                <w:rFonts w:cs="Arial"/>
                <w:color w:val="000000"/>
              </w:rPr>
              <w:br/>
            </w:r>
            <w:r w:rsidRPr="00446259">
              <w:rPr>
                <w:rFonts w:cs="Arial"/>
                <w:i/>
                <w:iCs/>
                <w:color w:val="000000"/>
              </w:rPr>
              <w:t>Example:</w:t>
            </w:r>
            <w:r w:rsidRPr="00446259">
              <w:rPr>
                <w:rFonts w:cs="Arial"/>
                <w:color w:val="000000"/>
              </w:rPr>
              <w:t xml:space="preserve"> An electronics manufacturer refurbishes and resells old devices instead of discarding them.</w:t>
            </w:r>
          </w:p>
        </w:tc>
      </w:tr>
      <w:tr w:rsidR="00446259" w14:paraId="1CD03230" w14:textId="77777777" w:rsidTr="00A4013B">
        <w:trPr>
          <w:trHeight w:val="1440"/>
        </w:trPr>
        <w:tc>
          <w:tcPr>
            <w:tcW w:w="2425" w:type="dxa"/>
            <w:tcBorders>
              <w:top w:val="single" w:sz="4" w:space="0" w:color="A6A6A6" w:themeColor="background1" w:themeShade="A6"/>
              <w:bottom w:val="nil"/>
              <w:right w:val="single" w:sz="4" w:space="0" w:color="A6A6A6" w:themeColor="background1" w:themeShade="A6"/>
            </w:tcBorders>
            <w:shd w:val="clear" w:color="auto" w:fill="F2F4FB"/>
          </w:tcPr>
          <w:p w14:paraId="2EAF9125" w14:textId="2BC1E18A" w:rsidR="00446259" w:rsidRPr="00A4013B" w:rsidRDefault="00446259" w:rsidP="007E341E">
            <w:pPr>
              <w:spacing w:before="120" w:line="276" w:lineRule="auto"/>
              <w:rPr>
                <w:color w:val="17365D" w:themeColor="text2" w:themeShade="BF"/>
                <w:sz w:val="21"/>
                <w:szCs w:val="21"/>
              </w:rPr>
            </w:pPr>
            <w:r w:rsidRPr="00A4013B">
              <w:rPr>
                <w:rFonts w:cs="Arial"/>
                <w:b/>
                <w:bCs/>
                <w:color w:val="17365D" w:themeColor="text2" w:themeShade="BF"/>
                <w:sz w:val="21"/>
                <w:szCs w:val="21"/>
              </w:rPr>
              <w:t>Conflict Minerals Rule (Dodd-Frank Act Section 1502)</w:t>
            </w:r>
          </w:p>
        </w:tc>
        <w:tc>
          <w:tcPr>
            <w:tcW w:w="8365" w:type="dxa"/>
            <w:tcBorders>
              <w:top w:val="single" w:sz="4" w:space="0" w:color="A6A6A6" w:themeColor="background1" w:themeShade="A6"/>
              <w:left w:val="single" w:sz="4" w:space="0" w:color="A6A6A6" w:themeColor="background1" w:themeShade="A6"/>
              <w:bottom w:val="nil"/>
            </w:tcBorders>
          </w:tcPr>
          <w:p w14:paraId="205FF895" w14:textId="208AAD72" w:rsidR="00446259" w:rsidRPr="00446259" w:rsidRDefault="00446259" w:rsidP="007E341E">
            <w:pPr>
              <w:spacing w:before="120" w:after="80" w:line="276" w:lineRule="auto"/>
              <w:rPr>
                <w:color w:val="000000"/>
                <w:sz w:val="21"/>
                <w:szCs w:val="21"/>
              </w:rPr>
            </w:pPr>
            <w:r w:rsidRPr="00446259">
              <w:rPr>
                <w:rFonts w:cs="Arial"/>
                <w:color w:val="000000"/>
              </w:rPr>
              <w:t>A U.S. rule requiring companies to disclose whether their products contain tin, tantalum, tungsten, or gold sourced from the Democratic Republic of the Congo or neighboring areas. Companies must conduct due diligence across their supply chain to confirm responsible sourcing.</w:t>
            </w:r>
          </w:p>
        </w:tc>
      </w:tr>
      <w:tr w:rsidR="00446259" w14:paraId="019DA3FE" w14:textId="77777777" w:rsidTr="00A4013B">
        <w:trPr>
          <w:trHeight w:val="1440"/>
        </w:trPr>
        <w:tc>
          <w:tcPr>
            <w:tcW w:w="2425" w:type="dxa"/>
            <w:tcBorders>
              <w:top w:val="nil"/>
              <w:bottom w:val="single" w:sz="4" w:space="0" w:color="A6A6A6" w:themeColor="background1" w:themeShade="A6"/>
              <w:right w:val="single" w:sz="4" w:space="0" w:color="A6A6A6" w:themeColor="background1" w:themeShade="A6"/>
            </w:tcBorders>
            <w:shd w:val="clear" w:color="auto" w:fill="F2F4FB"/>
          </w:tcPr>
          <w:p w14:paraId="7A222EE8" w14:textId="28B472C7" w:rsidR="00446259" w:rsidRPr="00A4013B" w:rsidRDefault="00446259" w:rsidP="007E341E">
            <w:pPr>
              <w:spacing w:before="120" w:line="276" w:lineRule="auto"/>
              <w:rPr>
                <w:color w:val="17365D" w:themeColor="text2" w:themeShade="BF"/>
                <w:sz w:val="21"/>
                <w:szCs w:val="21"/>
              </w:rPr>
            </w:pPr>
            <w:r w:rsidRPr="00A4013B">
              <w:rPr>
                <w:rFonts w:cs="Arial"/>
                <w:b/>
                <w:bCs/>
                <w:color w:val="17365D" w:themeColor="text2" w:themeShade="BF"/>
                <w:sz w:val="21"/>
                <w:szCs w:val="21"/>
              </w:rPr>
              <w:t>Control Tower</w:t>
            </w:r>
          </w:p>
        </w:tc>
        <w:tc>
          <w:tcPr>
            <w:tcW w:w="8365" w:type="dxa"/>
            <w:tcBorders>
              <w:top w:val="nil"/>
              <w:left w:val="single" w:sz="4" w:space="0" w:color="A6A6A6" w:themeColor="background1" w:themeShade="A6"/>
              <w:bottom w:val="single" w:sz="4" w:space="0" w:color="A6A6A6" w:themeColor="background1" w:themeShade="A6"/>
            </w:tcBorders>
          </w:tcPr>
          <w:p w14:paraId="0C6E6176" w14:textId="371C3A47" w:rsidR="00446259" w:rsidRPr="00446259" w:rsidRDefault="00446259" w:rsidP="007E341E">
            <w:pPr>
              <w:spacing w:before="120" w:after="80" w:line="276" w:lineRule="auto"/>
              <w:rPr>
                <w:color w:val="000000"/>
                <w:sz w:val="21"/>
                <w:szCs w:val="21"/>
              </w:rPr>
            </w:pPr>
            <w:r w:rsidRPr="00446259">
              <w:rPr>
                <w:rFonts w:cs="Arial"/>
                <w:color w:val="000000"/>
              </w:rPr>
              <w:t>A centralized digital platform providing real-time visibility into suppliers, shipments, inventory, and distribution. While control towers improve agility, true end-to-end visibility across all supply chain tiers remains rare.</w:t>
            </w:r>
          </w:p>
        </w:tc>
      </w:tr>
      <w:tr w:rsidR="00446259" w14:paraId="44C19064"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17A8FCA0" w14:textId="5D4F2B25" w:rsidR="00446259" w:rsidRPr="00A4013B" w:rsidRDefault="00446259" w:rsidP="007E341E">
            <w:pPr>
              <w:spacing w:before="120" w:line="276" w:lineRule="auto"/>
              <w:rPr>
                <w:color w:val="17365D" w:themeColor="text2" w:themeShade="BF"/>
                <w:sz w:val="21"/>
                <w:szCs w:val="21"/>
              </w:rPr>
            </w:pPr>
            <w:r w:rsidRPr="00A4013B">
              <w:rPr>
                <w:rFonts w:cs="Arial"/>
                <w:b/>
                <w:bCs/>
                <w:color w:val="17365D" w:themeColor="text2" w:themeShade="BF"/>
                <w:sz w:val="21"/>
                <w:szCs w:val="21"/>
              </w:rPr>
              <w:lastRenderedPageBreak/>
              <w:t>Supplier Relationship Management (SRM)</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8F04631" w14:textId="38C6132F" w:rsidR="00446259" w:rsidRPr="00446259" w:rsidRDefault="00446259" w:rsidP="007E341E">
            <w:pPr>
              <w:spacing w:before="120" w:after="80" w:line="276" w:lineRule="auto"/>
              <w:rPr>
                <w:color w:val="000000"/>
                <w:sz w:val="21"/>
                <w:szCs w:val="21"/>
              </w:rPr>
            </w:pPr>
            <w:r w:rsidRPr="00446259">
              <w:rPr>
                <w:rFonts w:cs="Arial"/>
                <w:color w:val="000000"/>
              </w:rPr>
              <w:t>The process and set of tools for managing supplier relationships, tracking performance, and using supplier data to improve sourcing decisions.</w:t>
            </w:r>
          </w:p>
        </w:tc>
      </w:tr>
      <w:tr w:rsidR="007E341E" w14:paraId="6E8D84B2"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1399515D" w14:textId="15298266"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CMMC (Cybersecurity Maturity Model Certification)</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D32709" w14:textId="601A6447" w:rsidR="007E341E" w:rsidRPr="007E341E" w:rsidRDefault="007E341E" w:rsidP="007E341E">
            <w:pPr>
              <w:spacing w:before="120" w:after="80" w:line="276" w:lineRule="auto"/>
              <w:rPr>
                <w:rFonts w:cs="Arial"/>
                <w:color w:val="000000"/>
              </w:rPr>
            </w:pPr>
            <w:r w:rsidRPr="007E341E">
              <w:rPr>
                <w:rFonts w:cs="Arial"/>
                <w:color w:val="000000"/>
              </w:rPr>
              <w:t>A cybersecurity framework required for companies working with the U.S. Department of Defense, ensuring that contractors (and their subcontractors) follow data protection standards across defense supply chains.</w:t>
            </w:r>
          </w:p>
        </w:tc>
      </w:tr>
      <w:tr w:rsidR="007E341E" w14:paraId="34A73F78"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728DE766" w14:textId="67EDFC67"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CSRD (Corporate Sustainability Reporting Directive)</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8F330E3" w14:textId="60C53148" w:rsidR="007E341E" w:rsidRPr="007E341E" w:rsidRDefault="007E341E" w:rsidP="007E341E">
            <w:pPr>
              <w:spacing w:before="120" w:after="80" w:line="276" w:lineRule="auto"/>
              <w:rPr>
                <w:rFonts w:cs="Arial"/>
                <w:color w:val="000000"/>
              </w:rPr>
            </w:pPr>
            <w:r w:rsidRPr="007E341E">
              <w:rPr>
                <w:rFonts w:cs="Arial"/>
                <w:color w:val="000000"/>
              </w:rPr>
              <w:t>A European Union directive requiring companies to report on environmental, social, and governance (ESG) impacts—including those tied to their entire supply chain.</w:t>
            </w:r>
          </w:p>
        </w:tc>
      </w:tr>
      <w:tr w:rsidR="007E341E" w14:paraId="01ACFBBF"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37E2AAFA" w14:textId="18DD4DCB"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Demand Management</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DC60B52" w14:textId="58BBC899" w:rsidR="007E341E" w:rsidRPr="007E341E" w:rsidRDefault="007E341E" w:rsidP="007E341E">
            <w:pPr>
              <w:spacing w:before="120" w:after="80" w:line="276" w:lineRule="auto"/>
              <w:rPr>
                <w:rFonts w:cs="Arial"/>
                <w:color w:val="000000"/>
              </w:rPr>
            </w:pPr>
            <w:r w:rsidRPr="007E341E">
              <w:rPr>
                <w:rFonts w:cs="Arial"/>
                <w:color w:val="000000"/>
              </w:rPr>
              <w:t>The process of predicting, influencing, and aligning with customer demand to avoid overproduction or stockouts. Effective demand management includes close collaboration between supply chain teams, sales, and marketing.</w:t>
            </w:r>
          </w:p>
        </w:tc>
      </w:tr>
      <w:tr w:rsidR="007E341E" w14:paraId="71A0980B"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08992E84" w14:textId="5FDB46D9"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Digital Twin</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79A32ED" w14:textId="1F1C3F5C" w:rsidR="007E341E" w:rsidRPr="007E341E" w:rsidRDefault="007E341E" w:rsidP="007E341E">
            <w:pPr>
              <w:spacing w:before="120" w:after="80" w:line="276" w:lineRule="auto"/>
              <w:rPr>
                <w:rFonts w:cs="Arial"/>
                <w:color w:val="000000"/>
              </w:rPr>
            </w:pPr>
            <w:r w:rsidRPr="007E341E">
              <w:rPr>
                <w:rFonts w:cs="Arial"/>
                <w:color w:val="000000"/>
              </w:rPr>
              <w:t>A virtual model of a supply chain, product, or process. Digital twins allow companies to test decisions and predict outcomes before making real-world changes. Increasingly used for scenario planning during disruptions.</w:t>
            </w:r>
            <w:r w:rsidRPr="007E341E">
              <w:rPr>
                <w:rFonts w:cs="Arial"/>
                <w:color w:val="000000"/>
              </w:rPr>
              <w:br/>
            </w:r>
            <w:r w:rsidRPr="007E341E">
              <w:rPr>
                <w:rFonts w:cs="Arial"/>
                <w:i/>
                <w:iCs/>
                <w:color w:val="000000"/>
              </w:rPr>
              <w:t>Example:</w:t>
            </w:r>
            <w:r w:rsidRPr="007E341E">
              <w:rPr>
                <w:rFonts w:cs="Arial"/>
                <w:color w:val="000000"/>
              </w:rPr>
              <w:t xml:space="preserve"> A car manufacturer models how shifting production to a different supplier would affect lead times.</w:t>
            </w:r>
          </w:p>
        </w:tc>
      </w:tr>
      <w:tr w:rsidR="007E341E" w14:paraId="191C8F48"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086D9EC2" w14:textId="2FE2DA2B"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ESG (Environmental, Social, and Governance)</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7023DB" w14:textId="079DE536" w:rsidR="007E341E" w:rsidRPr="007E341E" w:rsidRDefault="007E341E" w:rsidP="007E341E">
            <w:pPr>
              <w:spacing w:before="120" w:after="80" w:line="276" w:lineRule="auto"/>
              <w:rPr>
                <w:rFonts w:cs="Arial"/>
                <w:color w:val="000000"/>
              </w:rPr>
            </w:pPr>
            <w:r w:rsidRPr="007E341E">
              <w:rPr>
                <w:rFonts w:cs="Arial"/>
                <w:color w:val="000000"/>
              </w:rPr>
              <w:t>A framework for evaluating suppliers and business practices based on sustainability, ethical labor, and governance criteria. ESG factors increasingly influence sourcing decisions and supplier selection.</w:t>
            </w:r>
          </w:p>
        </w:tc>
      </w:tr>
      <w:tr w:rsidR="007E341E" w14:paraId="23836244"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1A3C810D" w14:textId="6886E76C"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FDA FSMA (Food Safety Modernization Act)</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E2F9C14" w14:textId="56379C75" w:rsidR="007E341E" w:rsidRPr="007E341E" w:rsidRDefault="007E341E" w:rsidP="007E341E">
            <w:pPr>
              <w:spacing w:before="120" w:after="80" w:line="276" w:lineRule="auto"/>
              <w:rPr>
                <w:rFonts w:cs="Arial"/>
                <w:color w:val="000000"/>
              </w:rPr>
            </w:pPr>
            <w:r w:rsidRPr="007E341E">
              <w:rPr>
                <w:rFonts w:cs="Arial"/>
                <w:color w:val="000000"/>
              </w:rPr>
              <w:t>A U.S. law focusing on preventing food safety problems across the supply chain, requiring proactive monitoring, documentation, and verification of safety practices across suppliers, manufacturers, and transporters.</w:t>
            </w:r>
          </w:p>
        </w:tc>
      </w:tr>
      <w:tr w:rsidR="007E341E" w14:paraId="28EAF3CE"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435F3ED8" w14:textId="521DCEDC"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Financial Flows</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7FABB29" w14:textId="4E580833" w:rsidR="007E341E" w:rsidRPr="007E341E" w:rsidRDefault="007E341E" w:rsidP="007E341E">
            <w:pPr>
              <w:spacing w:before="120" w:after="80" w:line="276" w:lineRule="auto"/>
              <w:rPr>
                <w:rFonts w:cs="Arial"/>
                <w:color w:val="000000"/>
              </w:rPr>
            </w:pPr>
            <w:r w:rsidRPr="007E341E">
              <w:rPr>
                <w:rFonts w:cs="Arial"/>
                <w:color w:val="000000"/>
              </w:rPr>
              <w:t>The movement of money through the supply chain, including supplier payments, credit terms, financing costs, and cash flow impacts.</w:t>
            </w:r>
          </w:p>
        </w:tc>
      </w:tr>
      <w:tr w:rsidR="007E341E" w14:paraId="5A6E6B71"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4820D3A6" w14:textId="38676800"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Geo-Blocking</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E64571B" w14:textId="0E41C78F" w:rsidR="007E341E" w:rsidRPr="007E341E" w:rsidRDefault="007E341E" w:rsidP="007E341E">
            <w:pPr>
              <w:spacing w:before="120" w:after="80" w:line="276" w:lineRule="auto"/>
              <w:rPr>
                <w:rFonts w:cs="Arial"/>
                <w:color w:val="000000"/>
              </w:rPr>
            </w:pPr>
            <w:r>
              <w:rPr>
                <w:rFonts w:ascii="Arial" w:hAnsi="Arial" w:cs="Arial"/>
                <w:color w:val="000000"/>
              </w:rPr>
              <w:t>The practice of restricting shipments or sales based on geopolitical risks, trade sanctions, or regional instability.</w:t>
            </w:r>
          </w:p>
        </w:tc>
      </w:tr>
      <w:tr w:rsidR="007E341E" w14:paraId="1A4CC576"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591CB693" w14:textId="5327FF98"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lastRenderedPageBreak/>
              <w:t>GDPR (General Data Protection Regulation)</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D950E27" w14:textId="43C83FDA" w:rsidR="007E341E" w:rsidRPr="007E341E" w:rsidRDefault="007E341E" w:rsidP="007E341E">
            <w:pPr>
              <w:spacing w:before="120" w:after="80" w:line="276" w:lineRule="auto"/>
              <w:rPr>
                <w:rFonts w:cs="Arial"/>
                <w:color w:val="000000"/>
              </w:rPr>
            </w:pPr>
            <w:r w:rsidRPr="007E341E">
              <w:rPr>
                <w:rFonts w:cs="Arial"/>
                <w:color w:val="000000"/>
              </w:rPr>
              <w:t>An EU data protection law regulating how companies collect, store, and share personal data—including supplier records, shipping data, and customer information. Violations lead to significant fines.</w:t>
            </w:r>
          </w:p>
        </w:tc>
      </w:tr>
      <w:tr w:rsidR="007E341E" w14:paraId="57720CBE"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0E400ACD" w14:textId="1ECD478A"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Information Flows</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EB0029" w14:textId="01CA2F14" w:rsidR="007E341E" w:rsidRPr="007E341E" w:rsidRDefault="007E341E" w:rsidP="007E341E">
            <w:pPr>
              <w:spacing w:before="120" w:after="80" w:line="276" w:lineRule="auto"/>
              <w:rPr>
                <w:rFonts w:cs="Arial"/>
                <w:color w:val="000000"/>
              </w:rPr>
            </w:pPr>
            <w:r w:rsidRPr="007E341E">
              <w:rPr>
                <w:rFonts w:cs="Arial"/>
                <w:color w:val="000000"/>
              </w:rPr>
              <w:t>The movement of data—such as orders, delivery status, inventory levels, and supplier updates—that enables real-time supply chain management.</w:t>
            </w:r>
          </w:p>
        </w:tc>
      </w:tr>
      <w:tr w:rsidR="007E341E" w14:paraId="481CAB30"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4D5FCBC9" w14:textId="6B0AC657"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Integrated SCM</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F19B409" w14:textId="691E6F84" w:rsidR="007E341E" w:rsidRPr="007E341E" w:rsidRDefault="007E341E" w:rsidP="007E341E">
            <w:pPr>
              <w:spacing w:before="120" w:after="80" w:line="276" w:lineRule="auto"/>
              <w:rPr>
                <w:rFonts w:cs="Arial"/>
                <w:color w:val="000000"/>
              </w:rPr>
            </w:pPr>
            <w:r w:rsidRPr="007E341E">
              <w:rPr>
                <w:rFonts w:cs="Arial"/>
                <w:color w:val="000000"/>
              </w:rPr>
              <w:t>A supply chain management approach where all partners closely coordinate, share real-time data, and work toward shared goals, acting as a cohesive network rather than isolated players.</w:t>
            </w:r>
          </w:p>
        </w:tc>
      </w:tr>
      <w:tr w:rsidR="007E341E" w14:paraId="53086F61"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0EE03C43" w14:textId="212846FD"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Inventory Management</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B74986D" w14:textId="0A7D85C1" w:rsidR="007E341E" w:rsidRPr="007E341E" w:rsidRDefault="007E341E" w:rsidP="007E341E">
            <w:pPr>
              <w:spacing w:before="120" w:after="80" w:line="276" w:lineRule="auto"/>
              <w:rPr>
                <w:rFonts w:cs="Arial"/>
                <w:color w:val="000000"/>
              </w:rPr>
            </w:pPr>
            <w:r w:rsidRPr="007E341E">
              <w:rPr>
                <w:rFonts w:cs="Arial"/>
                <w:color w:val="000000"/>
              </w:rPr>
              <w:t>Monitoring and controlling inventory levels to avoid stockouts or excess inventory—balancing cost, service levels, and working capital.</w:t>
            </w:r>
          </w:p>
        </w:tc>
      </w:tr>
      <w:tr w:rsidR="007E341E" w14:paraId="7C724DD5"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3DD2C07B" w14:textId="7A005100"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Last-Mile Delivery</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92F08D2" w14:textId="6BE757AA" w:rsidR="007E341E" w:rsidRPr="007E341E" w:rsidRDefault="007E341E" w:rsidP="007E341E">
            <w:pPr>
              <w:spacing w:before="120" w:after="80" w:line="276" w:lineRule="auto"/>
              <w:rPr>
                <w:rFonts w:cs="Arial"/>
                <w:color w:val="000000"/>
              </w:rPr>
            </w:pPr>
            <w:r w:rsidRPr="007E341E">
              <w:rPr>
                <w:rFonts w:cs="Arial"/>
                <w:color w:val="000000"/>
              </w:rPr>
              <w:t>The final delivery step from warehouse to customer. Last-mile efficiency directly impacts customer satisfaction, particularly in e-commerce.</w:t>
            </w:r>
          </w:p>
        </w:tc>
      </w:tr>
      <w:tr w:rsidR="007E341E" w14:paraId="5A01786E"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0F77B28F" w14:textId="74316BD8"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Lean Six Sigma</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E09D370" w14:textId="691B4B30" w:rsidR="007E341E" w:rsidRPr="007E341E" w:rsidRDefault="007E341E" w:rsidP="007E341E">
            <w:pPr>
              <w:spacing w:before="120" w:after="80" w:line="276" w:lineRule="auto"/>
              <w:rPr>
                <w:rFonts w:cs="Arial"/>
                <w:color w:val="000000"/>
              </w:rPr>
            </w:pPr>
            <w:r w:rsidRPr="007E341E">
              <w:rPr>
                <w:rFonts w:cs="Arial"/>
                <w:color w:val="000000"/>
              </w:rPr>
              <w:t>A process improvement approach combining Lean’s waste reduction focus with Six Sigma’s defect reduction techniques.</w:t>
            </w:r>
          </w:p>
        </w:tc>
      </w:tr>
      <w:tr w:rsidR="007E341E" w14:paraId="06CCAC10"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057600D6" w14:textId="54379B4A"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Logistics</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B0AC24C" w14:textId="1848D376" w:rsidR="007E341E" w:rsidRPr="007E341E" w:rsidRDefault="007E341E" w:rsidP="007E341E">
            <w:pPr>
              <w:spacing w:before="120" w:after="80" w:line="276" w:lineRule="auto"/>
              <w:rPr>
                <w:rFonts w:cs="Arial"/>
                <w:color w:val="000000"/>
              </w:rPr>
            </w:pPr>
            <w:r w:rsidRPr="007E341E">
              <w:rPr>
                <w:rFonts w:cs="Arial"/>
                <w:color w:val="000000"/>
              </w:rPr>
              <w:t>The physical movement of goods from suppliers to manufacturers to customers, with emphasis on cost control, speed, and reliability.</w:t>
            </w:r>
          </w:p>
        </w:tc>
      </w:tr>
      <w:tr w:rsidR="007E341E" w14:paraId="09F80A1B"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74F19C1B" w14:textId="69E850E6"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Make vs. Buy</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3FE9DC8" w14:textId="543C0BCE" w:rsidR="007E341E" w:rsidRPr="007E341E" w:rsidRDefault="007E341E" w:rsidP="007E341E">
            <w:pPr>
              <w:spacing w:before="120" w:after="80" w:line="276" w:lineRule="auto"/>
              <w:rPr>
                <w:rFonts w:cs="Arial"/>
                <w:color w:val="000000"/>
              </w:rPr>
            </w:pPr>
            <w:r w:rsidRPr="007E341E">
              <w:rPr>
                <w:rFonts w:cs="Arial"/>
                <w:color w:val="000000"/>
              </w:rPr>
              <w:t>The decision whether to manufacture internally or outsource to a supplier, based on cost, lead time, quality control, intellectual property concerns, and strategic flexibility.</w:t>
            </w:r>
          </w:p>
        </w:tc>
      </w:tr>
      <w:tr w:rsidR="007E341E" w14:paraId="7ADE0517"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0BA85872" w14:textId="0709497B"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New Product Development (NPD)</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55CE73" w14:textId="3351193A" w:rsidR="007E341E" w:rsidRPr="007E341E" w:rsidRDefault="007E341E" w:rsidP="007E341E">
            <w:pPr>
              <w:spacing w:before="120" w:after="80" w:line="276" w:lineRule="auto"/>
              <w:rPr>
                <w:rFonts w:cs="Arial"/>
                <w:color w:val="000000"/>
              </w:rPr>
            </w:pPr>
            <w:r w:rsidRPr="007E341E">
              <w:rPr>
                <w:rFonts w:cs="Arial"/>
                <w:color w:val="000000"/>
              </w:rPr>
              <w:t>The process of designing and launching new products, often involving supply chain input for sourcing, manufacturability, and cost estimates.</w:t>
            </w:r>
          </w:p>
        </w:tc>
      </w:tr>
      <w:tr w:rsidR="007E341E" w14:paraId="192ACAA1"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3276321A" w14:textId="58521C41"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lastRenderedPageBreak/>
              <w:t>Supply Chain Finance</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6CD4C0" w14:textId="1B745D85" w:rsidR="007E341E" w:rsidRPr="007E341E" w:rsidRDefault="007E341E" w:rsidP="007E341E">
            <w:pPr>
              <w:spacing w:before="120" w:after="80" w:line="276" w:lineRule="auto"/>
              <w:rPr>
                <w:rFonts w:cs="Arial"/>
                <w:color w:val="000000"/>
              </w:rPr>
            </w:pPr>
            <w:r w:rsidRPr="007E341E">
              <w:rPr>
                <w:rFonts w:cs="Arial"/>
                <w:color w:val="000000"/>
              </w:rPr>
              <w:t>Tracking cost-to-serve, inventory carrying costs, and working capital impacts across the supply chain—ensuring profitability and working capital optimization.</w:t>
            </w:r>
          </w:p>
        </w:tc>
      </w:tr>
      <w:tr w:rsidR="007E341E" w14:paraId="2091ABC7"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650FF647" w14:textId="32D26756"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Physical Flows</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067FE40" w14:textId="255AEDD6" w:rsidR="007E341E" w:rsidRPr="007E341E" w:rsidRDefault="007E341E" w:rsidP="007E341E">
            <w:pPr>
              <w:spacing w:before="120" w:after="80" w:line="276" w:lineRule="auto"/>
              <w:rPr>
                <w:rFonts w:cs="Arial"/>
                <w:color w:val="000000"/>
              </w:rPr>
            </w:pPr>
            <w:r w:rsidRPr="007E341E">
              <w:rPr>
                <w:rFonts w:cs="Arial"/>
                <w:color w:val="000000"/>
              </w:rPr>
              <w:t>The actual movement of materials, components, and products through the supply chain.</w:t>
            </w:r>
          </w:p>
        </w:tc>
      </w:tr>
      <w:tr w:rsidR="007E341E" w14:paraId="0E2E1A3B"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77FEC3F1" w14:textId="7A476F31"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Procurement</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3AFE698" w14:textId="4304548B" w:rsidR="007E341E" w:rsidRPr="007E341E" w:rsidRDefault="007E341E" w:rsidP="007E341E">
            <w:pPr>
              <w:spacing w:before="120" w:after="80" w:line="276" w:lineRule="auto"/>
              <w:rPr>
                <w:rFonts w:cs="Arial"/>
                <w:color w:val="000000"/>
              </w:rPr>
            </w:pPr>
            <w:r w:rsidRPr="007E341E">
              <w:rPr>
                <w:rFonts w:cs="Arial"/>
                <w:color w:val="000000"/>
              </w:rPr>
              <w:t>Sourcing, negotiating, and managing supplier relationships to ensure materials meet cost, quality, and delivery standards.</w:t>
            </w:r>
          </w:p>
        </w:tc>
      </w:tr>
      <w:tr w:rsidR="007E341E" w14:paraId="503E1029"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41976D95" w14:textId="598EB959"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Project Management</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953D5CD" w14:textId="6D82D9BD" w:rsidR="007E341E" w:rsidRPr="007E341E" w:rsidRDefault="007E341E" w:rsidP="007E341E">
            <w:pPr>
              <w:spacing w:before="120" w:after="80" w:line="276" w:lineRule="auto"/>
              <w:rPr>
                <w:rFonts w:cs="Arial"/>
                <w:color w:val="000000"/>
              </w:rPr>
            </w:pPr>
            <w:r w:rsidRPr="007E341E">
              <w:rPr>
                <w:rFonts w:cs="Arial"/>
                <w:color w:val="000000"/>
              </w:rPr>
              <w:t>Planning and overseeing supply chain-related projects, like launching a new supplier or adopting a control tower, ensuring they’re on time and on budget.</w:t>
            </w:r>
          </w:p>
        </w:tc>
      </w:tr>
      <w:tr w:rsidR="007E341E" w14:paraId="09207911"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52D425C5" w14:textId="7D6D1BFA"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Resilience</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FB9E204" w14:textId="28A876A3" w:rsidR="007E341E" w:rsidRPr="007E341E" w:rsidRDefault="007E341E" w:rsidP="007E341E">
            <w:pPr>
              <w:spacing w:before="120" w:after="80" w:line="276" w:lineRule="auto"/>
              <w:rPr>
                <w:rFonts w:cs="Arial"/>
                <w:color w:val="000000"/>
              </w:rPr>
            </w:pPr>
            <w:r w:rsidRPr="007E341E">
              <w:rPr>
                <w:rFonts w:cs="Arial"/>
                <w:color w:val="000000"/>
              </w:rPr>
              <w:t>The ability to withstand and recover from disruptions, from natural disasters to supplier bankruptcies, through risk management and agility.</w:t>
            </w:r>
          </w:p>
        </w:tc>
      </w:tr>
      <w:tr w:rsidR="007E341E" w14:paraId="7086FF51"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3DD12AD6" w14:textId="6E3A840D"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Reverse Supply Chain</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652D49" w14:textId="457F4ECB" w:rsidR="007E341E" w:rsidRPr="007E341E" w:rsidRDefault="007E341E" w:rsidP="007E341E">
            <w:pPr>
              <w:spacing w:before="120" w:after="80" w:line="276" w:lineRule="auto"/>
              <w:rPr>
                <w:rFonts w:cs="Arial"/>
                <w:color w:val="000000"/>
              </w:rPr>
            </w:pPr>
            <w:r w:rsidRPr="007E341E">
              <w:rPr>
                <w:rFonts w:cs="Arial"/>
                <w:color w:val="000000"/>
              </w:rPr>
              <w:t>Managing returns, repairs, refurbishments, and recycling after products reach customers.</w:t>
            </w:r>
          </w:p>
        </w:tc>
      </w:tr>
      <w:tr w:rsidR="007E341E" w14:paraId="5EE4FABC"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05FDB04E" w14:textId="06760D19"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Risk Management</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6146C6" w14:textId="5737FC3F" w:rsidR="007E341E" w:rsidRPr="007E341E" w:rsidRDefault="007E341E" w:rsidP="007E341E">
            <w:pPr>
              <w:spacing w:before="120" w:after="80" w:line="276" w:lineRule="auto"/>
              <w:rPr>
                <w:rFonts w:cs="Arial"/>
                <w:color w:val="000000"/>
              </w:rPr>
            </w:pPr>
            <w:r w:rsidRPr="007E341E">
              <w:rPr>
                <w:rFonts w:cs="Arial"/>
                <w:color w:val="000000"/>
              </w:rPr>
              <w:t>Identifying, evaluating, and mitigating risks, from supplier failures to cyberattacks.</w:t>
            </w:r>
          </w:p>
        </w:tc>
      </w:tr>
      <w:tr w:rsidR="007E341E" w14:paraId="14D1E1E7"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1A55C687" w14:textId="7DE6F34B"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S&amp;OP (Sales and Operations Planning)</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ADE25C" w14:textId="307AE18F" w:rsidR="007E341E" w:rsidRPr="007E341E" w:rsidRDefault="007E341E" w:rsidP="007E341E">
            <w:pPr>
              <w:spacing w:before="120" w:after="80" w:line="276" w:lineRule="auto"/>
              <w:rPr>
                <w:rFonts w:cs="Arial"/>
                <w:color w:val="000000"/>
              </w:rPr>
            </w:pPr>
            <w:r w:rsidRPr="007E341E">
              <w:rPr>
                <w:rFonts w:cs="Arial"/>
                <w:color w:val="000000"/>
              </w:rPr>
              <w:t>A cross-functional planning process that aligns demand forecasts, supply plans, and financial goals to ensure all departments work from a single, agreed plan.</w:t>
            </w:r>
          </w:p>
        </w:tc>
      </w:tr>
      <w:tr w:rsidR="007E341E" w14:paraId="2C393069"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4E21B4EC" w14:textId="618ADC6E"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Strategic Sourcing</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E26A948" w14:textId="12A03829" w:rsidR="007E341E" w:rsidRPr="007E341E" w:rsidRDefault="007E341E" w:rsidP="007E341E">
            <w:pPr>
              <w:spacing w:before="120" w:after="80" w:line="276" w:lineRule="auto"/>
              <w:rPr>
                <w:rFonts w:cs="Arial"/>
                <w:color w:val="000000"/>
              </w:rPr>
            </w:pPr>
            <w:r w:rsidRPr="007E341E">
              <w:rPr>
                <w:rFonts w:cs="Arial"/>
                <w:color w:val="000000"/>
              </w:rPr>
              <w:t>A formal process for analyzing supplier markets, gathering data, and leveraging purchasing power to secure the best value.</w:t>
            </w:r>
          </w:p>
        </w:tc>
      </w:tr>
      <w:tr w:rsidR="007E341E" w14:paraId="5591D520"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2902EC5C" w14:textId="04C26B2C"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lastRenderedPageBreak/>
              <w:t>Supplier Scorecard</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325272" w14:textId="0D2D98DD" w:rsidR="007E341E" w:rsidRPr="007E341E" w:rsidRDefault="007E341E" w:rsidP="007E341E">
            <w:pPr>
              <w:spacing w:before="120" w:after="80" w:line="276" w:lineRule="auto"/>
              <w:rPr>
                <w:rFonts w:cs="Arial"/>
                <w:color w:val="000000"/>
              </w:rPr>
            </w:pPr>
            <w:r w:rsidRPr="007E341E">
              <w:rPr>
                <w:rFonts w:cs="Arial"/>
                <w:color w:val="000000"/>
              </w:rPr>
              <w:t>A tool for measuring supplier performance against cost, quality, delivery reliability, and ESG compliance.</w:t>
            </w:r>
          </w:p>
        </w:tc>
      </w:tr>
      <w:tr w:rsidR="007E341E" w14:paraId="507E9730"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56AA1440" w14:textId="29EBD47C"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Theory of Constraints</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5D7BD1B" w14:textId="447D9D4F" w:rsidR="007E341E" w:rsidRPr="007E341E" w:rsidRDefault="007E341E" w:rsidP="007E341E">
            <w:pPr>
              <w:spacing w:before="120" w:after="80" w:line="276" w:lineRule="auto"/>
              <w:rPr>
                <w:rFonts w:cs="Arial"/>
                <w:color w:val="000000"/>
              </w:rPr>
            </w:pPr>
            <w:r w:rsidRPr="007E341E">
              <w:rPr>
                <w:rFonts w:cs="Arial"/>
                <w:color w:val="000000"/>
              </w:rPr>
              <w:t>A process improvement method focused on identifying and resolving the single biggest bottleneck that limits overall throughput—sometimes requiring sub-optimization in other areas.</w:t>
            </w:r>
          </w:p>
        </w:tc>
      </w:tr>
      <w:tr w:rsidR="007E341E" w14:paraId="5C629CAE"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6930094E" w14:textId="0C0E8591"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TISAX (Trusted Information Security Assessment Exchange)</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2E1D2D8" w14:textId="50D31A59" w:rsidR="007E341E" w:rsidRPr="007E341E" w:rsidRDefault="007E341E" w:rsidP="007E341E">
            <w:pPr>
              <w:spacing w:before="120" w:after="80" w:line="276" w:lineRule="auto"/>
              <w:rPr>
                <w:rFonts w:cs="Arial"/>
                <w:color w:val="000000"/>
              </w:rPr>
            </w:pPr>
            <w:r w:rsidRPr="007E341E">
              <w:rPr>
                <w:rFonts w:cs="Arial"/>
                <w:color w:val="000000"/>
              </w:rPr>
              <w:t>A data security standard for the automotive supply chain, ensuring suppliers meet consistent data protection requirements.</w:t>
            </w:r>
          </w:p>
        </w:tc>
      </w:tr>
      <w:tr w:rsidR="007E341E" w14:paraId="63EEF25D"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458F87A7" w14:textId="13F912A3"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Visibility</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E53E7C3" w14:textId="79DFB796" w:rsidR="007E341E" w:rsidRPr="007E341E" w:rsidRDefault="007E341E" w:rsidP="007E341E">
            <w:pPr>
              <w:spacing w:before="120" w:after="80" w:line="276" w:lineRule="auto"/>
              <w:rPr>
                <w:rFonts w:cs="Arial"/>
                <w:color w:val="000000"/>
              </w:rPr>
            </w:pPr>
            <w:r w:rsidRPr="007E341E">
              <w:rPr>
                <w:rFonts w:cs="Arial"/>
                <w:color w:val="000000"/>
              </w:rPr>
              <w:t>The ability to track inventory, orders, and shipments across the supply chain in real time.</w:t>
            </w:r>
          </w:p>
        </w:tc>
      </w:tr>
      <w:tr w:rsidR="007E341E" w14:paraId="4C6ED161" w14:textId="77777777" w:rsidTr="00A4013B">
        <w:trPr>
          <w:trHeight w:val="1440"/>
        </w:trPr>
        <w:tc>
          <w:tcPr>
            <w:tcW w:w="242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4FB"/>
          </w:tcPr>
          <w:p w14:paraId="60D4C169" w14:textId="27EF8D23" w:rsidR="007E341E" w:rsidRPr="00A4013B" w:rsidRDefault="007E341E" w:rsidP="007E341E">
            <w:pPr>
              <w:spacing w:before="120" w:line="276" w:lineRule="auto"/>
              <w:rPr>
                <w:rFonts w:cs="Arial"/>
                <w:b/>
                <w:bCs/>
                <w:color w:val="17365D" w:themeColor="text2" w:themeShade="BF"/>
                <w:sz w:val="21"/>
                <w:szCs w:val="21"/>
              </w:rPr>
            </w:pPr>
            <w:r w:rsidRPr="00A4013B">
              <w:rPr>
                <w:rFonts w:cs="Arial"/>
                <w:b/>
                <w:bCs/>
                <w:color w:val="17365D" w:themeColor="text2" w:themeShade="BF"/>
                <w:sz w:val="21"/>
                <w:szCs w:val="21"/>
              </w:rPr>
              <w:t>Win/Loss Analysis (Inventory Management)</w:t>
            </w:r>
          </w:p>
        </w:tc>
        <w:tc>
          <w:tcPr>
            <w:tcW w:w="836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D0CBB00" w14:textId="48A0AF02" w:rsidR="007E341E" w:rsidRPr="007E341E" w:rsidRDefault="007E341E" w:rsidP="007E341E">
            <w:pPr>
              <w:spacing w:before="120" w:after="80" w:line="276" w:lineRule="auto"/>
              <w:rPr>
                <w:rFonts w:cs="Arial"/>
                <w:color w:val="000000"/>
              </w:rPr>
            </w:pPr>
            <w:r w:rsidRPr="007E341E">
              <w:rPr>
                <w:rFonts w:cs="Arial"/>
                <w:color w:val="000000"/>
              </w:rPr>
              <w:t>A review of past inventory decisions to identify what caused stockouts or overstocks, and how to improve future planning.</w:t>
            </w:r>
          </w:p>
        </w:tc>
      </w:tr>
    </w:tbl>
    <w:p w14:paraId="4A3EEBCD" w14:textId="538B75CC" w:rsidR="00820894" w:rsidRPr="005F235D" w:rsidRDefault="00820894" w:rsidP="00A616F3">
      <w:pPr>
        <w:spacing w:line="276" w:lineRule="auto"/>
        <w:rPr>
          <w:color w:val="000000"/>
          <w:sz w:val="22"/>
          <w:szCs w:val="22"/>
        </w:rPr>
      </w:pPr>
    </w:p>
    <w:p w14:paraId="06AC2E29" w14:textId="7AC82ACC" w:rsidR="00820894" w:rsidRPr="00446259" w:rsidRDefault="00820894">
      <w:pPr>
        <w:spacing w:line="276" w:lineRule="auto"/>
        <w:rPr>
          <w:color w:val="17365D" w:themeColor="text2" w:themeShade="BF"/>
          <w:sz w:val="22"/>
          <w:szCs w:val="22"/>
        </w:rPr>
      </w:pPr>
    </w:p>
    <w:p w14:paraId="68803752" w14:textId="5B47BAA2" w:rsidR="00820894" w:rsidRDefault="00820894">
      <w:pPr>
        <w:spacing w:line="276" w:lineRule="auto"/>
        <w:rPr>
          <w:color w:val="000000"/>
          <w:sz w:val="22"/>
          <w:szCs w:val="22"/>
        </w:rPr>
      </w:pPr>
    </w:p>
    <w:p w14:paraId="71D7DD72" w14:textId="4863E1E7" w:rsidR="00820894" w:rsidRDefault="00820894">
      <w:pPr>
        <w:spacing w:line="276" w:lineRule="auto"/>
        <w:rPr>
          <w:color w:val="000000"/>
          <w:sz w:val="22"/>
          <w:szCs w:val="22"/>
        </w:rPr>
      </w:pPr>
    </w:p>
    <w:p w14:paraId="76FE6C64" w14:textId="1F4CF001" w:rsidR="00820894" w:rsidRDefault="00820894">
      <w:pPr>
        <w:spacing w:line="276" w:lineRule="auto"/>
        <w:rPr>
          <w:color w:val="000000"/>
          <w:sz w:val="22"/>
          <w:szCs w:val="22"/>
        </w:rPr>
      </w:pPr>
    </w:p>
    <w:p w14:paraId="5B4B1FD9" w14:textId="6F85A854" w:rsidR="00A360AB" w:rsidRDefault="00A360AB">
      <w:pPr>
        <w:spacing w:line="276" w:lineRule="auto"/>
        <w:rPr>
          <w:color w:val="000000"/>
          <w:sz w:val="22"/>
          <w:szCs w:val="22"/>
        </w:rPr>
      </w:pPr>
    </w:p>
    <w:p w14:paraId="709D68E5" w14:textId="27D207E8" w:rsidR="00820894" w:rsidRPr="00B54CA4" w:rsidRDefault="00820894" w:rsidP="00A616F3">
      <w:pPr>
        <w:spacing w:line="276" w:lineRule="auto"/>
        <w:rPr>
          <w:color w:val="000000"/>
          <w:sz w:val="22"/>
          <w:szCs w:val="22"/>
        </w:rPr>
      </w:pPr>
    </w:p>
    <w:p w14:paraId="39FBF183" w14:textId="32CA092F" w:rsidR="00820894" w:rsidRDefault="00820894">
      <w:pPr>
        <w:spacing w:line="276" w:lineRule="auto"/>
        <w:rPr>
          <w:color w:val="000000"/>
          <w:sz w:val="22"/>
          <w:szCs w:val="22"/>
        </w:rPr>
      </w:pPr>
    </w:p>
    <w:p w14:paraId="1D81E5CD" w14:textId="4210E382" w:rsidR="00820894" w:rsidRDefault="00820894">
      <w:pPr>
        <w:spacing w:line="276" w:lineRule="auto"/>
        <w:rPr>
          <w:color w:val="000000"/>
          <w:sz w:val="22"/>
          <w:szCs w:val="22"/>
        </w:rPr>
      </w:pPr>
    </w:p>
    <w:p w14:paraId="5A4B2C67" w14:textId="1311F78A" w:rsidR="00820894" w:rsidRDefault="00820894">
      <w:pPr>
        <w:spacing w:line="276" w:lineRule="auto"/>
        <w:rPr>
          <w:color w:val="000000"/>
          <w:sz w:val="22"/>
          <w:szCs w:val="22"/>
        </w:rPr>
      </w:pPr>
    </w:p>
    <w:p w14:paraId="6052DF89" w14:textId="3762C950" w:rsidR="00820894" w:rsidRDefault="00820894">
      <w:pPr>
        <w:spacing w:line="276" w:lineRule="auto"/>
        <w:rPr>
          <w:color w:val="000000"/>
          <w:sz w:val="22"/>
          <w:szCs w:val="22"/>
        </w:rPr>
      </w:pPr>
    </w:p>
    <w:p w14:paraId="1843EAF7" w14:textId="477EE765" w:rsidR="00820894" w:rsidRDefault="00820894">
      <w:pPr>
        <w:spacing w:line="276" w:lineRule="auto"/>
        <w:rPr>
          <w:color w:val="000000"/>
          <w:sz w:val="22"/>
          <w:szCs w:val="22"/>
        </w:rPr>
      </w:pPr>
    </w:p>
    <w:p w14:paraId="23A26098" w14:textId="652A48B5" w:rsidR="00820894" w:rsidRDefault="00820894">
      <w:pPr>
        <w:spacing w:line="276" w:lineRule="auto"/>
        <w:rPr>
          <w:color w:val="000000"/>
          <w:sz w:val="22"/>
          <w:szCs w:val="22"/>
        </w:rPr>
      </w:pPr>
    </w:p>
    <w:p w14:paraId="37954F8D" w14:textId="52FAE1FD" w:rsidR="00820894" w:rsidRDefault="00820894">
      <w:pPr>
        <w:spacing w:line="276" w:lineRule="auto"/>
        <w:rPr>
          <w:color w:val="000000"/>
          <w:sz w:val="22"/>
          <w:szCs w:val="22"/>
        </w:rPr>
      </w:pPr>
    </w:p>
    <w:p w14:paraId="532A5298" w14:textId="40F547AD" w:rsidR="00820894" w:rsidRDefault="00820894">
      <w:pPr>
        <w:spacing w:line="276" w:lineRule="auto"/>
        <w:rPr>
          <w:color w:val="000000"/>
          <w:sz w:val="22"/>
          <w:szCs w:val="22"/>
        </w:rPr>
      </w:pPr>
    </w:p>
    <w:p w14:paraId="79B0AFDC" w14:textId="7B00DBEE" w:rsidR="00820894" w:rsidRDefault="00820894">
      <w:pPr>
        <w:spacing w:line="276" w:lineRule="auto"/>
        <w:rPr>
          <w:color w:val="000000"/>
          <w:sz w:val="22"/>
          <w:szCs w:val="22"/>
        </w:rPr>
      </w:pPr>
    </w:p>
    <w:p w14:paraId="09A60599" w14:textId="73B2D2B2" w:rsidR="00820894" w:rsidRDefault="00820894">
      <w:pPr>
        <w:spacing w:line="276" w:lineRule="auto"/>
        <w:rPr>
          <w:color w:val="000000"/>
          <w:sz w:val="22"/>
          <w:szCs w:val="22"/>
        </w:rPr>
      </w:pPr>
    </w:p>
    <w:p w14:paraId="0BE54A0C" w14:textId="77777777" w:rsidR="00A616F3" w:rsidRDefault="00A616F3">
      <w:pPr>
        <w:spacing w:line="276" w:lineRule="auto"/>
        <w:rPr>
          <w:color w:val="000000"/>
          <w:sz w:val="22"/>
          <w:szCs w:val="22"/>
        </w:rPr>
      </w:pPr>
    </w:p>
    <w:p w14:paraId="6A30A935" w14:textId="77777777" w:rsidR="00A616F3" w:rsidRDefault="00A616F3">
      <w:pPr>
        <w:spacing w:line="276" w:lineRule="auto"/>
        <w:rPr>
          <w:color w:val="000000"/>
          <w:sz w:val="22"/>
          <w:szCs w:val="22"/>
        </w:rPr>
      </w:pPr>
    </w:p>
    <w:tbl>
      <w:tblPr>
        <w:tblStyle w:val="a4"/>
        <w:tblpPr w:leftFromText="180" w:rightFromText="180" w:vertAnchor="text" w:horzAnchor="margin" w:tblpY="75"/>
        <w:tblW w:w="10350"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10350"/>
      </w:tblGrid>
      <w:tr w:rsidR="00A4013B" w14:paraId="397EB244" w14:textId="77777777" w:rsidTr="00A4013B">
        <w:trPr>
          <w:trHeight w:val="2952"/>
        </w:trPr>
        <w:tc>
          <w:tcPr>
            <w:tcW w:w="10350" w:type="dxa"/>
          </w:tcPr>
          <w:p w14:paraId="79EC88F8" w14:textId="77777777" w:rsidR="00A4013B" w:rsidRDefault="00A4013B" w:rsidP="00A4013B">
            <w:pPr>
              <w:jc w:val="center"/>
              <w:rPr>
                <w:b/>
                <w:color w:val="000000"/>
                <w:sz w:val="20"/>
                <w:szCs w:val="20"/>
              </w:rPr>
            </w:pPr>
          </w:p>
          <w:p w14:paraId="024F845D" w14:textId="77777777" w:rsidR="00A4013B" w:rsidRPr="00A360AB" w:rsidRDefault="00A4013B" w:rsidP="00A4013B">
            <w:pPr>
              <w:jc w:val="center"/>
              <w:rPr>
                <w:rFonts w:ascii="Century Gothic" w:hAnsi="Century Gothic"/>
                <w:b/>
                <w:color w:val="000000"/>
                <w:sz w:val="24"/>
                <w:szCs w:val="24"/>
              </w:rPr>
            </w:pPr>
            <w:r w:rsidRPr="00A360AB">
              <w:rPr>
                <w:rFonts w:ascii="Century Gothic" w:hAnsi="Century Gothic"/>
                <w:b/>
                <w:color w:val="000000"/>
                <w:sz w:val="24"/>
                <w:szCs w:val="24"/>
              </w:rPr>
              <w:t>DISCLAIMER</w:t>
            </w:r>
          </w:p>
          <w:p w14:paraId="3F959769" w14:textId="77777777" w:rsidR="00A4013B" w:rsidRDefault="00A4013B" w:rsidP="00A4013B">
            <w:pPr>
              <w:spacing w:line="276" w:lineRule="auto"/>
              <w:rPr>
                <w:color w:val="000000"/>
                <w:sz w:val="21"/>
                <w:szCs w:val="21"/>
              </w:rPr>
            </w:pPr>
          </w:p>
          <w:p w14:paraId="68DE76C1" w14:textId="77777777" w:rsidR="00A4013B" w:rsidRPr="00A360AB" w:rsidRDefault="00A4013B" w:rsidP="00A4013B">
            <w:pPr>
              <w:spacing w:line="276" w:lineRule="auto"/>
              <w:rPr>
                <w:rFonts w:ascii="Century Gothic" w:hAnsi="Century Gothic"/>
                <w:color w:val="000000"/>
                <w:sz w:val="24"/>
                <w:szCs w:val="24"/>
              </w:rPr>
            </w:pPr>
            <w:r w:rsidRPr="00A360AB">
              <w:rPr>
                <w:rFonts w:ascii="Century Gothic" w:hAnsi="Century Gothic"/>
                <w:color w:val="000000"/>
                <w:sz w:val="24"/>
                <w:szCs w:val="24"/>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D6906FD" w14:textId="77777777" w:rsidR="00A616F3" w:rsidRDefault="00A616F3">
      <w:pPr>
        <w:spacing w:line="276" w:lineRule="auto"/>
        <w:rPr>
          <w:color w:val="000000"/>
          <w:sz w:val="22"/>
          <w:szCs w:val="22"/>
        </w:rPr>
      </w:pPr>
    </w:p>
    <w:p w14:paraId="229DC7DB" w14:textId="7C0EFCEE" w:rsidR="00820894" w:rsidRDefault="00820894">
      <w:pPr>
        <w:spacing w:line="276" w:lineRule="auto"/>
        <w:rPr>
          <w:color w:val="000000"/>
          <w:sz w:val="22"/>
          <w:szCs w:val="22"/>
        </w:rPr>
      </w:pPr>
    </w:p>
    <w:p w14:paraId="5F07DC1B" w14:textId="4315862B" w:rsidR="00820894" w:rsidRDefault="00820894">
      <w:pPr>
        <w:spacing w:line="276" w:lineRule="auto"/>
        <w:rPr>
          <w:color w:val="000000"/>
          <w:sz w:val="22"/>
          <w:szCs w:val="22"/>
        </w:rPr>
      </w:pPr>
    </w:p>
    <w:p w14:paraId="009C81F5" w14:textId="52031B24" w:rsidR="00820894" w:rsidRDefault="00820894">
      <w:pPr>
        <w:spacing w:line="276" w:lineRule="auto"/>
        <w:rPr>
          <w:color w:val="000000"/>
          <w:sz w:val="22"/>
          <w:szCs w:val="22"/>
        </w:rPr>
      </w:pPr>
    </w:p>
    <w:p w14:paraId="13D0CF2F" w14:textId="619DD405" w:rsidR="00820894" w:rsidRDefault="00820894">
      <w:pPr>
        <w:spacing w:line="276" w:lineRule="auto"/>
        <w:rPr>
          <w:color w:val="000000"/>
          <w:sz w:val="22"/>
          <w:szCs w:val="22"/>
        </w:rPr>
      </w:pPr>
    </w:p>
    <w:p w14:paraId="08882CFD" w14:textId="01454365" w:rsidR="00820894" w:rsidRDefault="00820894">
      <w:pPr>
        <w:spacing w:line="276" w:lineRule="auto"/>
        <w:rPr>
          <w:color w:val="000000"/>
          <w:sz w:val="22"/>
          <w:szCs w:val="22"/>
        </w:rPr>
      </w:pPr>
    </w:p>
    <w:p w14:paraId="0F9D97DB" w14:textId="29F455AE" w:rsidR="00820894" w:rsidRDefault="00820894">
      <w:pPr>
        <w:spacing w:line="276" w:lineRule="auto"/>
        <w:rPr>
          <w:color w:val="000000"/>
          <w:sz w:val="22"/>
          <w:szCs w:val="22"/>
        </w:rPr>
      </w:pPr>
    </w:p>
    <w:p w14:paraId="00A309E9" w14:textId="788DFB78" w:rsidR="00820894" w:rsidRDefault="00820894">
      <w:pPr>
        <w:spacing w:line="276" w:lineRule="auto"/>
        <w:rPr>
          <w:color w:val="000000"/>
          <w:sz w:val="22"/>
          <w:szCs w:val="22"/>
        </w:rPr>
      </w:pPr>
    </w:p>
    <w:p w14:paraId="2236A567" w14:textId="256AB866" w:rsidR="00820894" w:rsidRDefault="00820894">
      <w:pPr>
        <w:spacing w:line="276" w:lineRule="auto"/>
        <w:rPr>
          <w:color w:val="000000"/>
          <w:sz w:val="22"/>
          <w:szCs w:val="22"/>
        </w:rPr>
      </w:pPr>
    </w:p>
    <w:p w14:paraId="724FCCBC" w14:textId="2DF83A02" w:rsidR="00820894" w:rsidRDefault="00820894">
      <w:pPr>
        <w:spacing w:line="276" w:lineRule="auto"/>
        <w:rPr>
          <w:color w:val="000000"/>
          <w:sz w:val="22"/>
          <w:szCs w:val="22"/>
        </w:rPr>
      </w:pPr>
    </w:p>
    <w:p w14:paraId="717D539D" w14:textId="7730E809" w:rsidR="00820894" w:rsidRDefault="00820894">
      <w:pPr>
        <w:spacing w:line="276" w:lineRule="auto"/>
        <w:rPr>
          <w:color w:val="000000"/>
          <w:sz w:val="22"/>
          <w:szCs w:val="22"/>
        </w:rPr>
      </w:pPr>
    </w:p>
    <w:p w14:paraId="707FBE03" w14:textId="44DC07BA" w:rsidR="00820894" w:rsidRDefault="00820894">
      <w:pPr>
        <w:spacing w:line="276" w:lineRule="auto"/>
        <w:rPr>
          <w:color w:val="000000"/>
          <w:sz w:val="22"/>
          <w:szCs w:val="22"/>
        </w:rPr>
      </w:pPr>
    </w:p>
    <w:p w14:paraId="7A688C26" w14:textId="5E42D4DC" w:rsidR="00820894" w:rsidRDefault="00820894" w:rsidP="00820894">
      <w:pPr>
        <w:spacing w:line="276" w:lineRule="auto"/>
        <w:rPr>
          <w:color w:val="000000"/>
          <w:sz w:val="32"/>
          <w:szCs w:val="32"/>
        </w:rPr>
      </w:pPr>
    </w:p>
    <w:p w14:paraId="0E1D2721" w14:textId="77777777" w:rsidR="00820894" w:rsidRDefault="00820894" w:rsidP="00820894">
      <w:pPr>
        <w:spacing w:line="276" w:lineRule="auto"/>
        <w:rPr>
          <w:color w:val="000000"/>
          <w:sz w:val="32"/>
          <w:szCs w:val="32"/>
        </w:rPr>
      </w:pPr>
    </w:p>
    <w:p w14:paraId="161F7B74" w14:textId="3FB1A7B9" w:rsidR="00B45809" w:rsidRDefault="00B45809">
      <w:pPr>
        <w:spacing w:line="276" w:lineRule="auto"/>
        <w:rPr>
          <w:color w:val="000000"/>
          <w:sz w:val="22"/>
          <w:szCs w:val="22"/>
        </w:rPr>
      </w:pPr>
    </w:p>
    <w:p w14:paraId="4EB3A7B0" w14:textId="36988044" w:rsidR="00B45809" w:rsidRDefault="00B45809">
      <w:pPr>
        <w:spacing w:line="276" w:lineRule="auto"/>
        <w:rPr>
          <w:color w:val="000000"/>
          <w:sz w:val="22"/>
          <w:szCs w:val="22"/>
        </w:rPr>
      </w:pPr>
    </w:p>
    <w:p w14:paraId="544D1487" w14:textId="7D808B9E" w:rsidR="00B45809" w:rsidRDefault="00B45809">
      <w:pPr>
        <w:spacing w:line="276" w:lineRule="auto"/>
        <w:rPr>
          <w:color w:val="000000"/>
          <w:sz w:val="22"/>
          <w:szCs w:val="22"/>
        </w:rPr>
      </w:pPr>
    </w:p>
    <w:p w14:paraId="66A4030B" w14:textId="166188FE" w:rsidR="00B45809" w:rsidRDefault="00B45809">
      <w:pPr>
        <w:spacing w:line="276" w:lineRule="auto"/>
        <w:rPr>
          <w:color w:val="000000"/>
          <w:sz w:val="22"/>
          <w:szCs w:val="22"/>
        </w:rPr>
      </w:pPr>
    </w:p>
    <w:p w14:paraId="030B819B" w14:textId="0988B0C3" w:rsidR="00B45809" w:rsidRDefault="00B45809">
      <w:pPr>
        <w:spacing w:line="276" w:lineRule="auto"/>
        <w:rPr>
          <w:color w:val="000000"/>
          <w:sz w:val="22"/>
          <w:szCs w:val="22"/>
        </w:rPr>
      </w:pPr>
    </w:p>
    <w:p w14:paraId="6B276FA9" w14:textId="2E7B5E2B" w:rsidR="00B45809" w:rsidRDefault="00B45809">
      <w:pPr>
        <w:spacing w:line="276" w:lineRule="auto"/>
        <w:rPr>
          <w:color w:val="000000"/>
          <w:sz w:val="22"/>
          <w:szCs w:val="22"/>
        </w:rPr>
      </w:pPr>
    </w:p>
    <w:p w14:paraId="3645A49C" w14:textId="4CFD0D91" w:rsidR="00B45809" w:rsidRDefault="00B45809">
      <w:pPr>
        <w:spacing w:line="276" w:lineRule="auto"/>
        <w:rPr>
          <w:color w:val="000000"/>
          <w:sz w:val="22"/>
          <w:szCs w:val="22"/>
        </w:rPr>
      </w:pPr>
    </w:p>
    <w:p w14:paraId="37D009FB" w14:textId="4588DAB6" w:rsidR="00B45809" w:rsidRDefault="00B45809">
      <w:pPr>
        <w:spacing w:line="276" w:lineRule="auto"/>
        <w:rPr>
          <w:color w:val="000000"/>
          <w:sz w:val="22"/>
          <w:szCs w:val="22"/>
        </w:rPr>
      </w:pPr>
    </w:p>
    <w:p w14:paraId="1AFD58DD" w14:textId="472DFFC4" w:rsidR="00B45809" w:rsidRDefault="00B45809">
      <w:pPr>
        <w:spacing w:line="276" w:lineRule="auto"/>
        <w:rPr>
          <w:color w:val="000000"/>
          <w:sz w:val="22"/>
          <w:szCs w:val="22"/>
        </w:rPr>
      </w:pPr>
    </w:p>
    <w:p w14:paraId="29E538F4" w14:textId="0DCAC132" w:rsidR="00B45809" w:rsidRDefault="00B45809">
      <w:pPr>
        <w:spacing w:line="276" w:lineRule="auto"/>
        <w:rPr>
          <w:color w:val="000000"/>
          <w:sz w:val="22"/>
          <w:szCs w:val="22"/>
        </w:rPr>
      </w:pPr>
    </w:p>
    <w:p w14:paraId="3825A59C" w14:textId="0A3D0D3B" w:rsidR="00B45809" w:rsidRDefault="00B45809">
      <w:pPr>
        <w:spacing w:line="276" w:lineRule="auto"/>
        <w:rPr>
          <w:color w:val="000000"/>
          <w:sz w:val="22"/>
          <w:szCs w:val="22"/>
        </w:rPr>
      </w:pPr>
    </w:p>
    <w:p w14:paraId="4F70DE5C" w14:textId="434E8A49" w:rsidR="00B45809" w:rsidRDefault="00B45809">
      <w:pPr>
        <w:spacing w:line="276" w:lineRule="auto"/>
        <w:rPr>
          <w:color w:val="000000"/>
          <w:sz w:val="22"/>
          <w:szCs w:val="22"/>
        </w:rPr>
      </w:pPr>
    </w:p>
    <w:p w14:paraId="7B6E522F" w14:textId="76BA5F9D" w:rsidR="00B45809" w:rsidRDefault="00B45809">
      <w:pPr>
        <w:spacing w:line="276" w:lineRule="auto"/>
        <w:rPr>
          <w:color w:val="000000"/>
          <w:sz w:val="22"/>
          <w:szCs w:val="22"/>
        </w:rPr>
      </w:pPr>
    </w:p>
    <w:p w14:paraId="727AD55F" w14:textId="018B168A" w:rsidR="00B45809" w:rsidRDefault="00B45809">
      <w:pPr>
        <w:spacing w:line="276" w:lineRule="auto"/>
        <w:rPr>
          <w:color w:val="000000"/>
          <w:sz w:val="22"/>
          <w:szCs w:val="22"/>
        </w:rPr>
      </w:pPr>
    </w:p>
    <w:p w14:paraId="79B5FD86" w14:textId="45BF9872" w:rsidR="00B45809" w:rsidRDefault="00B45809">
      <w:pPr>
        <w:spacing w:line="276" w:lineRule="auto"/>
        <w:rPr>
          <w:color w:val="000000"/>
          <w:sz w:val="22"/>
          <w:szCs w:val="22"/>
        </w:rPr>
      </w:pPr>
    </w:p>
    <w:p w14:paraId="0B64F50B" w14:textId="77777777" w:rsidR="00B45809" w:rsidRDefault="00B45809">
      <w:pPr>
        <w:spacing w:line="276" w:lineRule="auto"/>
        <w:rPr>
          <w:color w:val="000000"/>
          <w:sz w:val="22"/>
          <w:szCs w:val="22"/>
        </w:rPr>
      </w:pPr>
    </w:p>
    <w:p w14:paraId="5A11DEB3" w14:textId="77777777" w:rsidR="00B45809" w:rsidRDefault="00B45809">
      <w:pPr>
        <w:spacing w:line="276" w:lineRule="auto"/>
        <w:rPr>
          <w:color w:val="000000"/>
          <w:sz w:val="22"/>
          <w:szCs w:val="22"/>
        </w:rPr>
      </w:pPr>
    </w:p>
    <w:p w14:paraId="6ACFD4FE" w14:textId="77777777" w:rsidR="00B45809" w:rsidRDefault="00B45809">
      <w:pPr>
        <w:spacing w:line="276" w:lineRule="auto"/>
        <w:rPr>
          <w:color w:val="000000"/>
          <w:sz w:val="22"/>
          <w:szCs w:val="22"/>
        </w:rPr>
      </w:pPr>
    </w:p>
    <w:p w14:paraId="36AD16BE" w14:textId="2B6840AD" w:rsidR="00734BF9" w:rsidRPr="00E42F65" w:rsidRDefault="00734BF9">
      <w:pPr>
        <w:rPr>
          <w:bCs/>
          <w:color w:val="000000"/>
          <w:sz w:val="32"/>
          <w:szCs w:val="32"/>
        </w:rPr>
      </w:pPr>
    </w:p>
    <w:sectPr w:rsidR="00734BF9" w:rsidRPr="00E42F65">
      <w:footerReference w:type="even" r:id="rId9"/>
      <w:footerReference w:type="default" r:id="rId10"/>
      <w:pgSz w:w="12240" w:h="15840"/>
      <w:pgMar w:top="576" w:right="720" w:bottom="576" w:left="720" w:header="720" w:footer="51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CE628" w14:textId="77777777" w:rsidR="00132441" w:rsidRDefault="00132441">
      <w:r>
        <w:separator/>
      </w:r>
    </w:p>
  </w:endnote>
  <w:endnote w:type="continuationSeparator" w:id="0">
    <w:p w14:paraId="7FB83E71" w14:textId="77777777" w:rsidR="00132441" w:rsidRDefault="00132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553638F-868A-AE41-B4FE-8B7EAA3F5C6B}"/>
    <w:embedBold r:id="rId2" w:fontKey="{2EF8A9DA-9971-C34B-8580-F34D2BBFE868}"/>
  </w:font>
  <w:font w:name="Century Gothic">
    <w:altName w:val="Century Gothic"/>
    <w:panose1 w:val="020B0502020202020204"/>
    <w:charset w:val="00"/>
    <w:family w:val="swiss"/>
    <w:pitch w:val="variable"/>
    <w:sig w:usb0="00000287" w:usb1="00000000" w:usb2="00000000" w:usb3="00000000" w:csb0="0000009F" w:csb1="00000000"/>
    <w:embedRegular r:id="rId3" w:fontKey="{7DAA6B14-BAFA-AD4A-AE45-238BF6E26E80}"/>
    <w:embedBold r:id="rId4" w:fontKey="{57AD7EF1-47CA-C243-B64D-9E65D60E0399}"/>
    <w:embedItalic r:id="rId5" w:fontKey="{4D80C89F-B29B-DA4E-979D-2D6A3C63FA3F}"/>
  </w:font>
  <w:font w:name="Arial">
    <w:panose1 w:val="020B0604020202020204"/>
    <w:charset w:val="00"/>
    <w:family w:val="swiss"/>
    <w:pitch w:val="variable"/>
    <w:sig w:usb0="E0002EFF" w:usb1="C000785B" w:usb2="00000009" w:usb3="00000000" w:csb0="000001FF" w:csb1="00000000"/>
    <w:embedRegular r:id="rId6" w:fontKey="{2807954E-A928-B941-85F2-0235F2D71D28}"/>
    <w:embedBold r:id="rId7" w:fontKey="{613A8576-37F8-2341-91AA-7A493B703DBC}"/>
    <w:embedItalic r:id="rId8" w:fontKey="{E5C00D3B-A1D7-9544-B781-F648F1C91E28}"/>
  </w:font>
  <w:font w:name="Georgia">
    <w:panose1 w:val="02040502050405020303"/>
    <w:charset w:val="00"/>
    <w:family w:val="roman"/>
    <w:pitch w:val="variable"/>
    <w:sig w:usb0="00000287" w:usb1="00000000" w:usb2="00000000" w:usb3="00000000" w:csb0="0000009F" w:csb1="00000000"/>
    <w:embedRegular r:id="rId9" w:fontKey="{A14E23CA-41C3-4F45-A71C-17E9BBAF3737}"/>
    <w:embedItalic r:id="rId10" w:fontKey="{13E305A5-B613-4E42-A8CB-B7630BF01F65}"/>
  </w:font>
  <w:font w:name="Calibri">
    <w:panose1 w:val="020F0502020204030204"/>
    <w:charset w:val="00"/>
    <w:family w:val="swiss"/>
    <w:pitch w:val="variable"/>
    <w:sig w:usb0="E4002EFF" w:usb1="C000247B" w:usb2="00000009" w:usb3="00000000" w:csb0="000001FF" w:csb1="00000000"/>
    <w:embedRegular r:id="rId11" w:fontKey="{F6F4D252-5C1A-424B-B6D5-F4FBCA582445}"/>
  </w:font>
  <w:font w:name="Cambria">
    <w:panose1 w:val="02040503050406030204"/>
    <w:charset w:val="00"/>
    <w:family w:val="roman"/>
    <w:pitch w:val="variable"/>
    <w:sig w:usb0="E00006FF" w:usb1="420024FF" w:usb2="02000000" w:usb3="00000000" w:csb0="0000019F" w:csb1="00000000"/>
    <w:embedRegular r:id="rId12" w:fontKey="{554F940B-49FB-0741-BF08-62E47254FF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67DD6" w14:textId="77777777" w:rsidR="00734BF9"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FC65F73" w14:textId="77777777" w:rsidR="00734BF9" w:rsidRDefault="00734BF9">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BF103" w14:textId="77777777" w:rsidR="00734BF9" w:rsidRDefault="00734BF9">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49153" w14:textId="77777777" w:rsidR="00132441" w:rsidRDefault="00132441">
      <w:r>
        <w:separator/>
      </w:r>
    </w:p>
  </w:footnote>
  <w:footnote w:type="continuationSeparator" w:id="0">
    <w:p w14:paraId="4ED5F855" w14:textId="77777777" w:rsidR="00132441" w:rsidRDefault="00132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6273F"/>
    <w:multiLevelType w:val="hybridMultilevel"/>
    <w:tmpl w:val="68E0DD2E"/>
    <w:lvl w:ilvl="0" w:tplc="FFFFFFFF">
      <w:start w:val="1"/>
      <w:numFmt w:val="decimal"/>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6EE22E9B"/>
    <w:multiLevelType w:val="hybridMultilevel"/>
    <w:tmpl w:val="68E0DD2E"/>
    <w:lvl w:ilvl="0" w:tplc="FFFFFFFF">
      <w:start w:val="1"/>
      <w:numFmt w:val="decimal"/>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7F0161A"/>
    <w:multiLevelType w:val="hybridMultilevel"/>
    <w:tmpl w:val="68E0DD2E"/>
    <w:lvl w:ilvl="0" w:tplc="EB92C76A">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6530282">
    <w:abstractNumId w:val="2"/>
  </w:num>
  <w:num w:numId="2" w16cid:durableId="951742347">
    <w:abstractNumId w:val="1"/>
  </w:num>
  <w:num w:numId="3" w16cid:durableId="1368867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BF9"/>
    <w:rsid w:val="00010B72"/>
    <w:rsid w:val="00132441"/>
    <w:rsid w:val="00204B2E"/>
    <w:rsid w:val="00250957"/>
    <w:rsid w:val="002D5C85"/>
    <w:rsid w:val="00353757"/>
    <w:rsid w:val="00414826"/>
    <w:rsid w:val="004256EF"/>
    <w:rsid w:val="00446259"/>
    <w:rsid w:val="004C0431"/>
    <w:rsid w:val="004F694D"/>
    <w:rsid w:val="005019E5"/>
    <w:rsid w:val="005B0E3A"/>
    <w:rsid w:val="005F1B66"/>
    <w:rsid w:val="005F235D"/>
    <w:rsid w:val="006C253F"/>
    <w:rsid w:val="007077FE"/>
    <w:rsid w:val="00734BF9"/>
    <w:rsid w:val="007646A0"/>
    <w:rsid w:val="007E341E"/>
    <w:rsid w:val="00820894"/>
    <w:rsid w:val="00985ACD"/>
    <w:rsid w:val="00A360AB"/>
    <w:rsid w:val="00A4013B"/>
    <w:rsid w:val="00A616F3"/>
    <w:rsid w:val="00AC6552"/>
    <w:rsid w:val="00B26A99"/>
    <w:rsid w:val="00B45809"/>
    <w:rsid w:val="00B54C17"/>
    <w:rsid w:val="00B54CA4"/>
    <w:rsid w:val="00BD7DF3"/>
    <w:rsid w:val="00CD126C"/>
    <w:rsid w:val="00D56F0E"/>
    <w:rsid w:val="00DD095F"/>
    <w:rsid w:val="00E42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43131"/>
  <w15:docId w15:val="{0495A7A3-2D2A-B14B-97B4-ABECEBA4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60"/>
      <w:outlineLvl w:val="0"/>
    </w:pPr>
    <w:rPr>
      <w:smallCaps/>
      <w:color w:val="595959"/>
      <w:sz w:val="28"/>
      <w:szCs w:val="28"/>
    </w:rPr>
  </w:style>
  <w:style w:type="paragraph" w:styleId="Heading2">
    <w:name w:val="heading 2"/>
    <w:basedOn w:val="Normal"/>
    <w:next w:val="Normal"/>
    <w:uiPriority w:val="9"/>
    <w:semiHidden/>
    <w:unhideWhenUsed/>
    <w:qFormat/>
    <w:pPr>
      <w:jc w:val="right"/>
      <w:outlineLvl w:val="1"/>
    </w:pPr>
  </w:style>
  <w:style w:type="paragraph" w:styleId="Heading3">
    <w:name w:val="heading 3"/>
    <w:basedOn w:val="Normal"/>
    <w:next w:val="Normal"/>
    <w:uiPriority w:val="9"/>
    <w:semiHidden/>
    <w:unhideWhenUsed/>
    <w:qFormat/>
    <w:pPr>
      <w:jc w:val="center"/>
      <w:outlineLvl w:val="2"/>
    </w:pPr>
    <w:rPr>
      <w:rFonts w:ascii="Arial" w:eastAsia="Arial" w:hAnsi="Arial" w:cs="Arial"/>
      <w:b/>
      <w:smallCaps/>
    </w:rPr>
  </w:style>
  <w:style w:type="paragraph" w:styleId="Heading4">
    <w:name w:val="heading 4"/>
    <w:basedOn w:val="Normal"/>
    <w:next w:val="Normal"/>
    <w:uiPriority w:val="9"/>
    <w:semiHidden/>
    <w:unhideWhenUsed/>
    <w:qFormat/>
    <w:pPr>
      <w:outlineLvl w:val="3"/>
    </w:pPr>
    <w:rPr>
      <w:b/>
    </w:rPr>
  </w:style>
  <w:style w:type="paragraph" w:styleId="Heading5">
    <w:name w:val="heading 5"/>
    <w:basedOn w:val="Normal"/>
    <w:next w:val="Normal"/>
    <w:uiPriority w:val="9"/>
    <w:semiHidden/>
    <w:unhideWhenUsed/>
    <w:qFormat/>
    <w:pPr>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Arial" w:eastAsia="Arial" w:hAnsi="Arial" w:cs="Arial"/>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Arial" w:eastAsia="Arial" w:hAnsi="Arial" w:cs="Arial"/>
      <w:sz w:val="22"/>
      <w:szCs w:val="22"/>
    </w:rPr>
    <w:tblPr>
      <w:tblStyleRowBandSize w:val="1"/>
      <w:tblStyleColBandSize w:val="1"/>
      <w:tblCellMar>
        <w:left w:w="360" w:type="dxa"/>
        <w:right w:w="115" w:type="dxa"/>
      </w:tblCellMar>
    </w:tblPr>
  </w:style>
  <w:style w:type="table" w:styleId="TableGrid">
    <w:name w:val="Table Grid"/>
    <w:basedOn w:val="TableNormal"/>
    <w:uiPriority w:val="39"/>
    <w:rsid w:val="00B458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08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smartsheet.com/try-it?trp=8944&amp;utm_source=template-word&amp;utm_medium=content&amp;utm_campaign=Supply-Chain-Management-Glossary-word-8944&amp;lpa=Supply-Chain-Management-Glossary+word+894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1304</Words>
  <Characters>7435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Herchold</cp:lastModifiedBy>
  <cp:revision>8</cp:revision>
  <dcterms:created xsi:type="dcterms:W3CDTF">2025-03-21T00:25:00Z</dcterms:created>
  <dcterms:modified xsi:type="dcterms:W3CDTF">2025-04-25T16:43:00Z</dcterms:modified>
</cp:coreProperties>
</file>